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6"/>
        <w:gridCol w:w="4536"/>
      </w:tblGrid>
      <w:tr>
        <w:tc>
          <w:tcPr>
            <w:tcW w:type="dxa" w:w="4320"/>
            <w:tcBorders>
              <w:top w:val="none"/>
              <w:left w:val="none"/>
              <w:bottom w:val="none"/>
              <w:right w:val="none"/>
            </w:tcBorders>
          </w:tcPr>
          <w:p>
            <w:pPr>
              <w:spacing w:before="0" w:after="0" w:line="240" w:lineRule="auto"/>
              <w:jc w:val="center"/>
            </w:pPr>
            <w:r>
              <w:rPr>
                <w:rFonts w:ascii="Times New Roman" w:hAnsi="Times New Roman"/>
                <w:b w:val="0"/>
                <w:sz w:val="26"/>
                <w:spacing w:val="-16"/>
              </w:rPr>
              <w:t>TRƯỜNG CAO ĐẲNG KỸ THUẬT</w:t>
              <w:br/>
              <w:t>PHÒNG KHÔNG - KHÔNG QUÂN</w:t>
              <w:br/>
            </w:r>
            <w:r>
              <w:rPr>
                <w:rFonts w:ascii="Times New Roman" w:hAnsi="Times New Roman"/>
                <w:b/>
                <w:sz w:val="26"/>
              </w:rPr>
              <w:t>PHÒNG HẬU CẦN - KỸ THUẬT</w:t>
              <w:br/>
            </w:r>
            <w:r>
              <w:rPr>
                <w:rFonts w:ascii="Times New Roman" w:hAnsi="Times New Roman"/>
                <w:b w:val="0"/>
                <w:sz w:val="26"/>
              </w:rPr>
              <w:t>Số:        /TTr-HCKT</w:t>
            </w:r>
          </w:p>
        </w:tc>
        <w:tc>
          <w:tcPr>
            <w:tcW w:type="dxa" w:w="4752"/>
            <w:tcBorders>
              <w:top w:val="none"/>
              <w:left w:val="none"/>
              <w:bottom w:val="none"/>
              <w:right w:val="none"/>
            </w:tcBorders>
          </w:tcPr>
          <w:p>
            <w:pPr>
              <w:spacing w:before="0" w:after="0" w:line="240" w:lineRule="auto"/>
              <w:jc w:val="center"/>
            </w:pPr>
            <w:r>
              <w:rPr>
                <w:rFonts w:ascii="Times New Roman" w:hAnsi="Times New Roman"/>
                <w:b/>
                <w:sz w:val="26"/>
                <w:spacing w:val="-16"/>
              </w:rPr>
              <w:t>CỘNG HÒA XÃ HỘI CHỦ NGHĨA VIỆT NAM</w:t>
              <w:br/>
            </w:r>
            <w:r>
              <w:rPr>
                <w:rFonts w:ascii="Times New Roman" w:hAnsi="Times New Roman"/>
                <w:b/>
                <w:sz w:val="26"/>
              </w:rPr>
              <w:t>Độc lập - Tự do - Hạnh phúc</w:t>
              <w:br/>
            </w:r>
            <w:r>
              <w:rPr>
                <w:rFonts w:ascii="Times New Roman" w:hAnsi="Times New Roman"/>
                <w:i/>
                <w:sz w:val="26"/>
              </w:rPr>
              <w:t>Hà Nội, ngày       tháng 02 năm 2026</w:t>
            </w:r>
          </w:p>
        </w:tc>
      </w:tr>
    </w:tbl>
    <w:p>
      <w:pPr>
        <w:spacing w:before="0" w:after="0" w:line="240" w:lineRule="auto"/>
      </w:pPr>
    </w:p>
    <w:p>
      <w:pPr>
        <w:spacing w:before="0" w:after="0" w:line="240" w:lineRule="auto"/>
        <w:jc w:val="center"/>
      </w:pPr>
      <w:r>
        <w:rPr>
          <w:rFonts w:ascii="Times New Roman" w:hAnsi="Times New Roman"/>
          <w:b/>
          <w:sz w:val="28"/>
        </w:rPr>
        <w:t>TỜ TRÌNH</w:t>
        <w:br/>
      </w:r>
      <w:r>
        <w:rPr>
          <w:rFonts w:ascii="Times New Roman" w:hAnsi="Times New Roman"/>
          <w:b/>
          <w:sz w:val="28"/>
        </w:rPr>
        <w:t>Về việc xin phê duyệt thành lập Ban Quản lý Dự án: "Xây dựng, cải tạo,</w:t>
        <w:br/>
        <w:t>nâng cấp doanh trại Trường Cao đẳng Kỹ thuật PK-KQ"</w:t>
      </w:r>
    </w:p>
    <w:p>
      <w:pPr>
        <w:spacing w:before="0" w:after="0" w:line="240" w:lineRule="auto"/>
      </w:pPr>
    </w:p>
    <w:p>
      <w:pPr>
        <w:spacing w:before="0" w:after="0" w:line="240" w:lineRule="auto"/>
        <w:jc w:val="center"/>
      </w:pPr>
      <w:r>
        <w:rPr>
          <w:rFonts w:ascii="Times New Roman" w:hAnsi="Times New Roman"/>
          <w:b w:val="0"/>
          <w:sz w:val="28"/>
        </w:rPr>
        <w:t>Kính gửi: Hiệu trưởng Trường Cao đẳng Kỹ thuật PK-KQ.</w:t>
      </w:r>
    </w:p>
    <w:p>
      <w:pPr>
        <w:spacing w:before="0" w:after="0" w:line="240" w:lineRule="auto"/>
      </w:pPr>
    </w:p>
    <w:p>
      <w:pPr>
        <w:spacing w:before="0" w:after="0" w:line="240" w:lineRule="auto"/>
        <w:ind w:firstLine="720"/>
        <w:jc w:val="both"/>
      </w:pPr>
      <w:r>
        <w:rPr>
          <w:rFonts w:ascii="Times New Roman" w:hAnsi="Times New Roman"/>
          <w:b w:val="0"/>
          <w:sz w:val="28"/>
        </w:rPr>
        <w:t>Căn cứ Luật Đầu tư công số 58/2024/QH15 ngày 29/11/2024 được sửa đổi, bổ sung bởi Luật số 90/2025/QH15 ngày 25/6/2025; Luật Xây dựng số 50/2014/QH13 ngày 18/6/2014, được sửa đổi, bổ sung tại Luật số 62/2020/QH14 ngày 17/6/2020; Luật Đấu thầu số 22/2023/QH15 ngày 23/6/2023 được sửa đổi, bổ sung bởi Luật số 57/2024/QH15 ngày 29/11/2024 và Luật số 90/2025/QH15 ngày 25/6/2025;</w:t>
      </w:r>
    </w:p>
    <w:p>
      <w:pPr>
        <w:spacing w:before="0" w:after="0" w:line="240" w:lineRule="auto"/>
        <w:ind w:firstLine="720"/>
        <w:jc w:val="both"/>
      </w:pPr>
      <w:r>
        <w:rPr>
          <w:rFonts w:ascii="Times New Roman" w:hAnsi="Times New Roman"/>
          <w:b w:val="0"/>
          <w:sz w:val="28"/>
        </w:rPr>
        <w:t>Căn cứ các Nghị định của Chính phủ: Số 85/2025/NĐ-CP ngày 08/4/2025 Quy định chi tiết thi hành một số điều của Luật Đầu tư công; số 275/2025/NĐ-CP ngày 18/10/2025 về sửa đổi, bổ sung một số điều của Nghị định số 85/2025/NĐ-CP ngày 08/4/2025 của Chính phủ; số 175/2024/NĐ-CP ngày 30/12/2024 quy định chi tiết một số điều và biện pháp thi hành Luật Xây dựng về quản lý hoạt động xây dựng; số 35/2023/NĐ-CP ngày 20/6/2023 sửa đổi, bổ sung một số điều của các Nghị định thuộc lĩnh vực quản lý nhà nước của Bộ Xây dựng;</w:t>
      </w:r>
    </w:p>
    <w:p>
      <w:pPr>
        <w:spacing w:before="0" w:after="0" w:line="240" w:lineRule="auto"/>
        <w:ind w:firstLine="720"/>
        <w:jc w:val="both"/>
      </w:pPr>
      <w:r>
        <w:rPr>
          <w:rFonts w:ascii="Times New Roman" w:hAnsi="Times New Roman"/>
          <w:b w:val="0"/>
          <w:sz w:val="28"/>
        </w:rPr>
        <w:t>Căn cứ Văn bản hợp nhất số 01/VBHN-BQP ngày 04/02/2025 của Bộ Quốc phòng quy định về lập, thẩm định, quyết định chủ trương đầu tư; phân cấp, ủy quyền quyết định đầu tư; lập, thẩm định, phê duyệt dự án đầu tư công trong Bộ Quốc phòng;</w:t>
      </w:r>
    </w:p>
    <w:p>
      <w:pPr>
        <w:spacing w:before="0" w:after="0" w:line="240" w:lineRule="auto"/>
        <w:ind w:firstLine="720"/>
        <w:jc w:val="both"/>
      </w:pPr>
      <w:r>
        <w:rPr>
          <w:rFonts w:ascii="Times New Roman" w:hAnsi="Times New Roman"/>
          <w:b w:val="0"/>
          <w:sz w:val="28"/>
        </w:rPr>
        <w:t>Căn cứ Quyết định số 679/QĐ-BQP ngày 08/2/2026 của Bộ trưởng Bộ Quốc phòng về việc phê duyệt chủ trương đầu tư 05 dự án mở mới năm 2026 thuộc Kế hoạch trung hạn 2026-2030 nguồn ngân sách nhà nước chi thường xuyên cho quốc phòng của Quân chủng PK-KQ;</w:t>
      </w:r>
    </w:p>
    <w:p>
      <w:pPr>
        <w:spacing w:before="0" w:after="0" w:line="240" w:lineRule="auto"/>
        <w:ind w:firstLine="720"/>
        <w:jc w:val="both"/>
      </w:pPr>
      <w:r>
        <w:rPr>
          <w:rFonts w:ascii="Times New Roman" w:hAnsi="Times New Roman"/>
          <w:b w:val="0"/>
          <w:sz w:val="28"/>
        </w:rPr>
        <w:t>Phòng Hậu cần - Kỹ thuật kính trình Hiệu trưởng Trường Cao đẳng Kỹ thuật PK-KQ v/v thành lập Ban Quản lý Dự án: "Xây dựng, cải tạo, nâng cấp doanh trại Trường Cao đẳng Kỹ thuật PK-KQ" với những nội dung sau:</w:t>
      </w:r>
    </w:p>
    <w:p>
      <w:pPr>
        <w:spacing w:before="0" w:after="0" w:line="240" w:lineRule="auto"/>
        <w:ind w:firstLine="720"/>
        <w:jc w:val="both"/>
      </w:pPr>
      <w:r>
        <w:rPr>
          <w:rFonts w:ascii="Times New Roman" w:hAnsi="Times New Roman"/>
          <w:b/>
          <w:sz w:val="28"/>
        </w:rPr>
        <w:t>1. Thành lập Ban Quản lý dự án gồm các đồng chí có tên sau:</w:t>
      </w:r>
      <w:r>
        <w:rPr>
          <w:rFonts w:ascii="Times New Roman" w:hAnsi="Times New Roman"/>
          <w:b w:val="0"/>
          <w:sz w:val="28"/>
        </w:rPr>
      </w:r>
    </w:p>
    <w:p>
      <w:pPr>
        <w:spacing w:before="0" w:after="0" w:line="240" w:lineRule="auto"/>
        <w:ind w:firstLine="720"/>
        <w:jc w:val="both"/>
      </w:pPr>
      <w:r>
        <w:rPr>
          <w:rFonts w:ascii="Times New Roman" w:hAnsi="Times New Roman"/>
          <w:b/>
          <w:sz w:val="28"/>
        </w:rPr>
        <w:t xml:space="preserve">- </w:t>
      </w:r>
      <w:r>
        <w:rPr>
          <w:rFonts w:ascii="Times New Roman" w:hAnsi="Times New Roman"/>
          <w:b w:val="0"/>
          <w:sz w:val="28"/>
        </w:rPr>
        <w:t>Thượng tá Nguyễn Đức Thắng, Trưởng phòng HC-KT - Trưởng ban.</w:t>
      </w:r>
    </w:p>
    <w:p>
      <w:pPr>
        <w:spacing w:before="0" w:after="0" w:line="240" w:lineRule="auto"/>
        <w:ind w:firstLine="720"/>
        <w:jc w:val="both"/>
      </w:pPr>
      <w:r>
        <w:rPr>
          <w:rFonts w:ascii="Times New Roman" w:hAnsi="Times New Roman"/>
          <w:b/>
          <w:sz w:val="28"/>
        </w:rPr>
        <w:t xml:space="preserve">- </w:t>
      </w:r>
      <w:r>
        <w:rPr>
          <w:rFonts w:ascii="Times New Roman" w:hAnsi="Times New Roman"/>
          <w:b w:val="0"/>
          <w:sz w:val="28"/>
        </w:rPr>
        <w:t>Thiếu tá Vũ Văn Dũng, Trợ lý Tài chính - Ủy viên.</w:t>
      </w:r>
    </w:p>
    <w:p>
      <w:pPr>
        <w:spacing w:before="0" w:after="0" w:line="240" w:lineRule="auto"/>
        <w:ind w:firstLine="720"/>
        <w:jc w:val="both"/>
      </w:pPr>
      <w:r>
        <w:rPr>
          <w:rFonts w:ascii="Times New Roman" w:hAnsi="Times New Roman"/>
          <w:b/>
          <w:sz w:val="28"/>
        </w:rPr>
        <w:t xml:space="preserve">- </w:t>
      </w:r>
      <w:r>
        <w:rPr>
          <w:rFonts w:ascii="Times New Roman" w:hAnsi="Times New Roman"/>
          <w:b w:val="0"/>
          <w:sz w:val="28"/>
        </w:rPr>
        <w:t>Đại úy Nguyễn Khả Thân, Trợ lý Doanh trại - Ủy viên.</w:t>
      </w:r>
    </w:p>
    <w:p>
      <w:pPr>
        <w:spacing w:before="0" w:after="0" w:line="240" w:lineRule="auto"/>
        <w:ind w:firstLine="720"/>
        <w:jc w:val="both"/>
      </w:pPr>
      <w:r>
        <w:rPr>
          <w:rFonts w:ascii="Times New Roman" w:hAnsi="Times New Roman"/>
          <w:b/>
          <w:sz w:val="28"/>
        </w:rPr>
        <w:t xml:space="preserve">- </w:t>
      </w:r>
      <w:r>
        <w:rPr>
          <w:rFonts w:ascii="Times New Roman" w:hAnsi="Times New Roman"/>
          <w:b w:val="0"/>
          <w:sz w:val="28"/>
        </w:rPr>
        <w:t>Trung úy Phạm Mạnh Duy, Trợ lý Doanh trại - Ủy viên.</w:t>
      </w:r>
    </w:p>
    <w:p>
      <w:pPr>
        <w:spacing w:before="0" w:after="0" w:line="240" w:lineRule="auto"/>
        <w:ind w:firstLine="720"/>
        <w:jc w:val="both"/>
      </w:pPr>
      <w:r>
        <w:rPr>
          <w:rFonts w:ascii="Times New Roman" w:hAnsi="Times New Roman"/>
          <w:b/>
          <w:sz w:val="28"/>
        </w:rPr>
        <w:t>2. Ban Quản lý dự án có nhiệm vụ:</w:t>
      </w:r>
      <w:r>
        <w:rPr>
          <w:rFonts w:ascii="Times New Roman" w:hAnsi="Times New Roman"/>
          <w:b w:val="0"/>
          <w:sz w:val="28"/>
        </w:rPr>
      </w:r>
    </w:p>
    <w:p>
      <w:pPr>
        <w:spacing w:before="0" w:after="0" w:line="240" w:lineRule="auto"/>
        <w:ind w:firstLine="720"/>
        <w:jc w:val="both"/>
      </w:pPr>
      <w:r>
        <w:rPr>
          <w:rFonts w:ascii="Times New Roman" w:hAnsi="Times New Roman"/>
          <w:b w:val="0"/>
          <w:sz w:val="28"/>
        </w:rPr>
        <w:t>- Tham mưu, giúp việc cho Chủ đầu tư làm việc với các cơ quan chức năng của Nhà nước, Bộ Quốc phòng và Quân chủng để tổ chức thực hiện các công tác chuẩn bị đầu tư và thực hiện dự án.</w:t>
      </w:r>
    </w:p>
    <w:p>
      <w:pPr>
        <w:spacing w:before="0" w:after="0" w:line="240" w:lineRule="auto"/>
        <w:ind w:firstLine="720"/>
        <w:jc w:val="both"/>
      </w:pPr>
      <w:r>
        <w:rPr>
          <w:rFonts w:ascii="Times New Roman" w:hAnsi="Times New Roman"/>
          <w:b w:val="0"/>
          <w:sz w:val="28"/>
        </w:rPr>
        <w:t>- Lập, trình phê duyệt kế hoạch thực hiện dự án; thực hiện các thủ tục đầu tư; tổ chức lập, thẩm tra, thẩm định hồ sơ thiết kế bản vẽ thi công - tổng dự toán trình duyệt theo quy định và thực hiện các công việc khác có liên quan để dự án được triển khai đúng tiến độ, đúng mục tiêu đầu tư.</w:t>
      </w:r>
    </w:p>
    <w:p>
      <w:pPr>
        <w:spacing w:before="0" w:after="0" w:line="240" w:lineRule="auto"/>
        <w:ind w:firstLine="720"/>
        <w:jc w:val="both"/>
      </w:pPr>
      <w:r>
        <w:rPr>
          <w:rFonts w:ascii="Times New Roman" w:hAnsi="Times New Roman"/>
          <w:b w:val="0"/>
          <w:sz w:val="28"/>
        </w:rPr>
        <w:t>- Tham mưu, giúp việc cho Chủ đầu tư thực hiện quy trình lựa chọn nhà thầu; thương thảo hợp đồng; trình thẩm định phê duyệt kết quả lựa chọn nhà thầu; dự thảo hợp đồng và trình Chủ đầu tư ký kết hợp đồng.</w:t>
      </w:r>
    </w:p>
    <w:p>
      <w:pPr>
        <w:spacing w:before="0" w:after="0" w:line="240" w:lineRule="auto"/>
        <w:ind w:firstLine="720"/>
        <w:jc w:val="both"/>
      </w:pPr>
      <w:r>
        <w:rPr>
          <w:rFonts w:ascii="Times New Roman" w:hAnsi="Times New Roman"/>
          <w:b w:val="0"/>
          <w:sz w:val="28"/>
        </w:rPr>
        <w:t>- Tổ chức quản lý thực hiện thi công các hạng mục công trình đã được phê duyệt. Trong quá trình thi công tổ chức quản lý chất lượng công trình, chất lượng vật tư trang thiết bị mua sắm; kiểm tra nghiệm thu chặt chẽ về khối lượng và chất lượng theo đúng thiết kế, dự toán đã được duyệt. Tiếp nhận, đề xuất giải ngân vốn theo tiến độ thực hiện dự án và hợp đồng ký kết với nhà thầu. Tổng hợp hồ sơ phục vụ các Đoàn kiểm tra, báo cáo tình hình tài chính với chủ tài khoản để thanh quyết toán theo đúng quy định và nguyên tắc theo quy chế XDCB hiện hành của Bộ Quốc phòng và Quân chủng.</w:t>
      </w:r>
    </w:p>
    <w:p>
      <w:pPr>
        <w:spacing w:before="0" w:after="0" w:line="240" w:lineRule="auto"/>
        <w:ind w:firstLine="720"/>
        <w:jc w:val="both"/>
      </w:pPr>
      <w:r>
        <w:rPr>
          <w:rFonts w:ascii="Times New Roman" w:hAnsi="Times New Roman"/>
          <w:b w:val="0"/>
          <w:sz w:val="28"/>
        </w:rPr>
        <w:t>- Phối hợp chặt chẽ giữa các cơ quan, đơn vị và các nhà thầu tổ chức thực hiện dự án đảm bảo yêu cầu về tiến độ, chất lượng, kỹ mỹ thuật, bảo đảm an toàn về mọi mặt; sử dụng hiệu quả chi phí đầu tư và bảo vệ môi trường.</w:t>
      </w:r>
    </w:p>
    <w:p>
      <w:pPr>
        <w:spacing w:before="0" w:after="0" w:line="240" w:lineRule="auto"/>
        <w:ind w:firstLine="720"/>
        <w:jc w:val="both"/>
      </w:pPr>
      <w:r>
        <w:rPr>
          <w:rFonts w:ascii="Times New Roman" w:hAnsi="Times New Roman"/>
          <w:b w:val="0"/>
          <w:sz w:val="28"/>
        </w:rPr>
        <w:t>- Báo cáo tình hình thực hiện và quá trình thi công dự án với Hiệu trưởng Nhà trường.</w:t>
      </w:r>
    </w:p>
    <w:p>
      <w:pPr>
        <w:spacing w:before="0" w:after="0" w:line="240" w:lineRule="auto"/>
        <w:ind w:firstLine="720"/>
        <w:jc w:val="both"/>
      </w:pPr>
      <w:r>
        <w:rPr>
          <w:rFonts w:ascii="Times New Roman" w:hAnsi="Times New Roman"/>
          <w:b w:val="0"/>
          <w:sz w:val="28"/>
        </w:rPr>
        <w:t>Phòng Hậu cần - Kỹ thuật kính trình Hiệu trưởng xem xét, phê duyệt để có cơ sở triển khai các bước tiếp theo./.</w:t>
      </w:r>
    </w:p>
    <w:p>
      <w:pPr>
        <w:spacing w:before="0" w:after="0" w:line="240" w:lineRule="auto"/>
      </w:pPr>
    </w:p>
    <w:tbl>
      <w:tblPr>
        <w:tblW w:type="auto" w:w="0"/>
        <w:jc w:val="center"/>
        <w:tblLayout w:type="fixed"/>
        <w:tblLook w:firstColumn="1" w:firstRow="1" w:lastColumn="0" w:lastRow="0" w:noHBand="0" w:noVBand="1" w:val="04A0"/>
      </w:tblPr>
      <w:tblGrid>
        <w:gridCol w:w="4536"/>
        <w:gridCol w:w="4536"/>
      </w:tblGrid>
      <w:tr>
        <w:tc>
          <w:tcPr>
            <w:tcW w:type="dxa" w:w="4608"/>
            <w:tcBorders>
              <w:top w:val="none"/>
              <w:left w:val="none"/>
              <w:bottom w:val="none"/>
              <w:right w:val="none"/>
            </w:tcBorders>
          </w:tcPr>
          <w:p>
            <w:pPr>
              <w:spacing w:before="0" w:after="0" w:line="240" w:lineRule="auto"/>
            </w:pPr>
            <w:r>
              <w:rPr>
                <w:rFonts w:ascii="Times New Roman" w:hAnsi="Times New Roman"/>
                <w:b/>
                <w:i/>
                <w:sz w:val="24"/>
              </w:rPr>
              <w:t>Nơi nhận:</w:t>
              <w:br/>
            </w:r>
            <w:r>
              <w:rPr>
                <w:rFonts w:ascii="Times New Roman" w:hAnsi="Times New Roman"/>
                <w:sz w:val="22"/>
              </w:rPr>
              <w:t>- Như trên;</w:t>
              <w:br/>
              <w:t>- Lưu: VT, HCKT (02). Th04</w:t>
            </w:r>
          </w:p>
        </w:tc>
        <w:tc>
          <w:tcPr>
            <w:tcW w:type="dxa" w:w="4608"/>
            <w:tcBorders>
              <w:top w:val="none"/>
              <w:left w:val="none"/>
              <w:bottom w:val="none"/>
              <w:right w:val="none"/>
            </w:tcBorders>
          </w:tcPr>
          <w:p>
            <w:pPr>
              <w:spacing w:before="0" w:after="0" w:line="240" w:lineRule="auto"/>
              <w:jc w:val="center"/>
            </w:pPr>
            <w:r>
              <w:rPr>
                <w:rFonts w:ascii="Times New Roman" w:hAnsi="Times New Roman"/>
                <w:b/>
                <w:sz w:val="28"/>
              </w:rPr>
              <w:t>TRƯỞNG PHÒNG</w:t>
              <w:br/>
              <w:br/>
              <w:br/>
              <w:br/>
            </w:r>
            <w:r>
              <w:rPr>
                <w:rFonts w:ascii="Times New Roman" w:hAnsi="Times New Roman"/>
                <w:b/>
                <w:sz w:val="28"/>
              </w:rPr>
              <w:t>Thượng tá Nguyễn Đức Thắng</w:t>
            </w:r>
          </w:p>
        </w:tc>
      </w:tr>
    </w:tbl>
    <w:sectPr w:rsidR="00FC693F" w:rsidRPr="0006063C" w:rsidSect="00034616">
      <w:headerReference w:type="default" r:id="rId9"/>
      <w:pgSz w:w="11909" w:h="16834"/>
      <w:pgMar w:top="1138" w:right="1138"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
      <w:rPr>
        <w:rFonts w:ascii="Times New Roman" w:hAnsi="Times New Roman"/>
        <w:sz w:val="26"/>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