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252"/>
        <w:gridCol w:w="5102"/>
      </w:tblGrid>
      <w:tr>
        <w:tc>
          <w:tcPr>
            <w:tcW w:type="dxa" w:w="4677"/>
          </w:tcPr>
          <w:p>
            <w:pPr>
              <w:spacing w:before="0" w:after="0" w:line="240" w:lineRule="auto"/>
              <w:jc w:val="center"/>
            </w:pPr>
            <w:r>
              <w:rPr>
                <w:rFonts w:ascii="Times New Roman" w:hAnsi="Times New Roman"/>
                <w:sz w:val="26"/>
              </w:rPr>
              <w:t xml:space="preserve">BỘ QUỐC PHÒNG</w:t>
            </w:r>
          </w:p>
          <w:p>
            <w:pPr>
              <w:spacing w:before="0" w:after="0" w:line="240" w:lineRule="auto"/>
              <w:jc w:val="center"/>
            </w:pPr>
            <w:r>
              <w:rPr>
                <w:rFonts w:ascii="Times New Roman" w:hAnsi="Times New Roman"/>
                <w:b/>
                <w:sz w:val="26"/>
              </w:rPr>
              <w:t xml:space="preserve">TRƯỜNG CAO ĐẲNG KỸ THUẬT PHÒNG KHÔNG - KHÔNG QUÂN</w:t>
            </w:r>
          </w:p>
          <w:p>
            <w:pPr>
              <w:spacing w:before="40" w:after="0" w:line="240" w:lineRule="auto"/>
              <w:jc w:val="center"/>
            </w:pPr>
            <w:r>
              <w:rPr>
                <w:rFonts w:ascii="Times New Roman" w:hAnsi="Times New Roman"/>
                <w:sz w:val="26"/>
              </w:rPr>
              <w:t xml:space="preserve">Số: 14/TTr-BQL</w:t>
            </w:r>
          </w:p>
        </w:tc>
        <w:tc>
          <w:tcPr>
            <w:tcW w:type="dxa" w:w="4677"/>
          </w:tcPr>
          <w:p>
            <w:pPr>
              <w:spacing w:before="0" w:after="0" w:line="240" w:lineRule="auto"/>
              <w:jc w:val="center"/>
            </w:pPr>
            <w:r>
              <w:rPr>
                <w:rFonts w:ascii="Times New Roman" w:hAnsi="Times New Roman"/>
                <w:b/>
                <w:sz w:val="26"/>
              </w:rPr>
              <w:t>CỘNG HÒA XÃ HỘI CHỦ NGHĨA VIỆT NAM</w:t>
            </w:r>
          </w:p>
          <w:p>
            <w:pPr>
              <w:spacing w:before="0" w:after="0" w:line="240" w:lineRule="auto"/>
              <w:jc w:val="center"/>
            </w:pPr>
            <w:r>
              <w:rPr>
                <w:rFonts w:ascii="Times New Roman" w:hAnsi="Times New Roman"/>
                <w:b/>
                <w:sz w:val="26"/>
              </w:rPr>
              <w:t>Độc lập - Tự do - Hạnh phúc</w:t>
            </w:r>
          </w:p>
          <w:p>
            <w:pPr>
              <w:spacing w:before="40" w:after="0" w:line="240" w:lineRule="auto"/>
              <w:jc w:val="center"/>
            </w:pPr>
            <w:r>
              <w:rPr>
                <w:rFonts w:ascii="Times New Roman" w:hAnsi="Times New Roman"/>
                <w:i/>
                <w:sz w:val="26"/>
              </w:rPr>
              <w:t xml:space="preserve">Hà Nội, ngày 19 tháng 8 năm 2026</w:t>
            </w:r>
          </w:p>
        </w:tc>
      </w:tr>
    </w:tbl>
    <w:p>
      <w:pPr>
        <w:spacing w:before="280" w:after="80" w:line="240" w:lineRule="auto"/>
        <w:jc w:val="center"/>
      </w:pPr>
      <w:r>
        <w:rPr>
          <w:rFonts w:ascii="Times New Roman" w:hAnsi="Times New Roman"/>
          <w:b/>
          <w:sz w:val="28"/>
        </w:rPr>
        <w:t>TỜ TRÌNH</w:t>
      </w:r>
    </w:p>
    <w:p>
      <w:pPr>
        <w:spacing w:before="0" w:after="200" w:line="240" w:lineRule="auto"/>
        <w:jc w:val="center"/>
      </w:pPr>
      <w:r>
        <w:rPr>
          <w:rFonts w:ascii="Times New Roman" w:hAnsi="Times New Roman"/>
          <w:b/>
          <w:sz w:val="28"/>
        </w:rPr>
        <w:t>Về việc phê duyệt nhiệm vụ và dự toán chi phí chuẩn bị đầu tư</w:t>
        <w:br/>
        <w:t xml:space="preserve">Công trình: Cải tạo, sửa chữa Giảng đường trung tâm khu A</w:t>
      </w:r>
    </w:p>
    <w:p>
      <w:pPr>
        <w:spacing w:before="0" w:after="200" w:line="240" w:lineRule="auto"/>
        <w:jc w:val="center"/>
      </w:pPr>
      <w:r>
        <w:rPr>
          <w:rFonts w:ascii="Times New Roman" w:hAnsi="Times New Roman"/>
          <w:sz w:val="28"/>
        </w:rPr>
        <w:t xml:space="preserve">Kính gửi: Hiệu trưởng Trường Cao đẳng Kỹ thuật PK-KQ.</w:t>
      </w:r>
    </w:p>
    <w:p>
      <w:pPr>
        <w:spacing w:before="0" w:after="80" w:line="240" w:lineRule="auto"/>
        <w:ind w:firstLine="720"/>
        <w:jc w:val="both"/>
      </w:pPr>
      <w:r>
        <w:rPr>
          <w:rFonts w:ascii="Times New Roman" w:hAnsi="Times New Roman"/>
          <w:sz w:val="28"/>
        </w:rPr>
        <w:t>Căn cứ Luật Xây dựng số 50/2014/QH13 và Luật sửa đổi số 62/2020/QH14;</w:t>
      </w:r>
    </w:p>
    <w:p>
      <w:pPr>
        <w:spacing w:before="0" w:after="80" w:line="240" w:lineRule="auto"/>
        <w:ind w:firstLine="720"/>
        <w:jc w:val="both"/>
      </w:pPr>
      <w:r>
        <w:rPr>
          <w:rFonts w:ascii="Times New Roman" w:hAnsi="Times New Roman"/>
          <w:sz w:val="28"/>
        </w:rPr>
        <w:t>Căn cứ Luật Đấu thầu số 22/2023/QH15 ngày 23 tháng 6 năm 2023;</w:t>
      </w:r>
    </w:p>
    <w:p>
      <w:pPr>
        <w:spacing w:before="0" w:after="80" w:line="240" w:lineRule="auto"/>
        <w:ind w:firstLine="720"/>
        <w:jc w:val="both"/>
      </w:pPr>
      <w:r>
        <w:rPr>
          <w:rFonts w:ascii="Times New Roman" w:hAnsi="Times New Roman"/>
          <w:sz w:val="28"/>
        </w:rPr>
        <w:t>Căn cứ Nghị định số 10/2021/NĐ-CP ngày 09/02/2021 của Chính phủ về quản lý chi phí đầu tư xây dựng;</w:t>
      </w:r>
    </w:p>
    <w:p>
      <w:pPr>
        <w:spacing w:before="0" w:after="80" w:line="240" w:lineRule="auto"/>
        <w:ind w:firstLine="720"/>
        <w:jc w:val="both"/>
      </w:pPr>
      <w:r>
        <w:rPr>
          <w:rFonts w:ascii="Times New Roman" w:hAnsi="Times New Roman"/>
          <w:sz w:val="28"/>
        </w:rPr>
        <w:t>Căn cứ Nghị định số 24/2024/NĐ-CP ngày 27/02/2024 của Chính phủ quy định chi tiết một số điều và biện pháp thi hành Luật Đấu thầu về lựa chọn nhà thầu;</w:t>
      </w:r>
    </w:p>
    <w:p>
      <w:pPr>
        <w:spacing w:before="0" w:after="80" w:line="240" w:lineRule="auto"/>
        <w:ind w:firstLine="720"/>
        <w:jc w:val="both"/>
      </w:pPr>
      <w:r>
        <w:rPr>
          <w:rFonts w:ascii="Times New Roman" w:hAnsi="Times New Roman"/>
          <w:sz w:val="28"/>
        </w:rPr>
        <w:t>Căn cứ nhu cầu thực tế và hiện trạng cơ sở vật chất của đơn vị;</w:t>
      </w:r>
    </w:p>
    <w:p>
      <w:pPr>
        <w:spacing w:before="0" w:after="80" w:line="240" w:lineRule="auto"/>
        <w:ind w:firstLine="720"/>
        <w:jc w:val="both"/>
      </w:pPr>
      <w:r>
        <w:rPr>
          <w:rFonts w:ascii="Times New Roman" w:hAnsi="Times New Roman"/>
          <w:sz w:val="28"/>
        </w:rPr>
        <w:t>Ban Quản lý dự án kính trình Thủ trưởng đơn vị xem xét, phê duyệt nhiệm vụ và dự toán chi phí chuẩn bị đầu tư với các nội dung chính như sau:</w:t>
      </w:r>
    </w:p>
    <w:p>
      <w:pPr>
        <w:spacing w:before="0" w:after="80" w:line="240" w:lineRule="auto"/>
        <w:ind w:firstLine="720"/>
        <w:jc w:val="both"/>
      </w:pPr>
      <w:r>
        <w:rPr>
          <w:rFonts w:ascii="Times New Roman" w:hAnsi="Times New Roman"/>
          <w:b/>
          <w:sz w:val="28"/>
        </w:rPr>
        <w:t>1. Tên công trình</w:t>
      </w:r>
      <w:r>
        <w:rPr>
          <w:rFonts w:ascii="Times New Roman" w:hAnsi="Times New Roman"/>
          <w:sz w:val="28"/>
        </w:rPr>
        <w:t xml:space="preserve">: Cải tạo, sửa chữa Giảng đường trung tâm khu A.</w:t>
      </w:r>
    </w:p>
    <w:p>
      <w:pPr>
        <w:spacing w:before="0" w:after="80" w:line="240" w:lineRule="auto"/>
        <w:ind w:firstLine="720"/>
        <w:jc w:val="both"/>
      </w:pPr>
      <w:r>
        <w:rPr>
          <w:rFonts w:ascii="Times New Roman" w:hAnsi="Times New Roman"/>
          <w:b/>
          <w:sz w:val="28"/>
        </w:rPr>
        <w:t xml:space="preserve">2. Chủ đầu tư:</w:t>
      </w:r>
      <w:r>
        <w:rPr>
          <w:rFonts w:ascii="Times New Roman" w:hAnsi="Times New Roman"/>
          <w:sz w:val="28"/>
        </w:rPr>
        <w:t xml:space="preserve"> Trường Cao đẳng Kỹ thuật PK-KQ.</w:t>
      </w:r>
    </w:p>
    <w:p>
      <w:pPr>
        <w:spacing w:before="0" w:after="80" w:line="240" w:lineRule="auto"/>
        <w:ind w:firstLine="720"/>
        <w:jc w:val="both"/>
      </w:pPr>
      <w:r>
        <w:rPr>
          <w:rFonts w:ascii="Times New Roman" w:hAnsi="Times New Roman"/>
          <w:b/>
          <w:sz w:val="28"/>
        </w:rPr>
        <w:t xml:space="preserve">3. Địa điểm thực hiện:</w:t>
      </w:r>
      <w:r>
        <w:rPr>
          <w:rFonts w:ascii="Times New Roman" w:hAnsi="Times New Roman"/>
          <w:sz w:val="28"/>
        </w:rPr>
        <w:t xml:space="preserve"> Xã Kim Sơn, Thị xã Sơn Tây, TP. Hà Nội.</w:t>
      </w:r>
    </w:p>
    <w:p>
      <w:pPr>
        <w:spacing w:before="0" w:after="80" w:line="240" w:lineRule="auto"/>
        <w:ind w:firstLine="720"/>
        <w:jc w:val="both"/>
      </w:pPr>
      <w:r>
        <w:rPr>
          <w:rFonts w:ascii="Times New Roman" w:hAnsi="Times New Roman"/>
          <w:b/>
          <w:sz w:val="28"/>
        </w:rPr>
        <w:t xml:space="preserve">4. Nguồn vốn thực hiện:</w:t>
      </w:r>
      <w:r>
        <w:rPr>
          <w:rFonts w:ascii="Times New Roman" w:hAnsi="Times New Roman"/>
          <w:sz w:val="28"/>
        </w:rPr>
        <w:t xml:space="preserve"> Ngân sách quốc phòng thường xuyên năm 2026.</w:t>
      </w:r>
    </w:p>
    <w:p>
      <w:pPr>
        <w:spacing w:before="0" w:after="80" w:line="240" w:lineRule="auto"/>
        <w:ind w:firstLine="720"/>
        <w:jc w:val="both"/>
      </w:pPr>
      <w:r>
        <w:rPr>
          <w:rFonts w:ascii="Times New Roman" w:hAnsi="Times New Roman"/>
          <w:b/>
          <w:sz w:val="28"/>
        </w:rPr>
        <w:t xml:space="preserve">5. Thời gian thực hiện: </w:t>
      </w:r>
      <w:r>
        <w:rPr>
          <w:rFonts w:ascii="Times New Roman" w:hAnsi="Times New Roman"/>
          <w:sz w:val="28"/>
        </w:rPr>
        <w:t xml:space="preserve">45 ngày kể từ ngày ký hợp đồng.</w:t>
      </w:r>
    </w:p>
    <w:p>
      <w:pPr>
        <w:spacing w:before="0" w:after="80" w:line="240" w:lineRule="auto"/>
        <w:ind w:firstLine="720"/>
        <w:jc w:val="both"/>
      </w:pPr>
      <w:r>
        <w:rPr>
          <w:rFonts w:ascii="Times New Roman" w:hAnsi="Times New Roman"/>
          <w:b/>
          <w:sz w:val="28"/>
        </w:rPr>
        <w:t xml:space="preserve">6. Tổng mức dự toán đề nghị phê duyệt:</w:t>
      </w:r>
      <w:r>
        <w:rPr>
          <w:rFonts w:ascii="Times New Roman" w:hAnsi="Times New Roman"/>
          <w:sz w:val="28"/>
        </w:rPr>
        <w:t xml:space="preserve"> 850.000.000 đồng</w:t>
      </w:r>
      <w:r>
        <w:rPr>
          <w:rFonts w:ascii="Times New Roman" w:hAnsi="Times New Roman"/>
          <w:i/>
          <w:sz w:val="28"/>
        </w:rPr>
        <w:t xml:space="preserve"> (Bằng chữ: Tám trăm năm mươi triệu đồng chẵn).</w:t>
      </w:r>
    </w:p>
    <w:p>
      <w:pPr>
        <w:spacing w:before="0" w:after="80" w:line="240" w:lineRule="auto"/>
        <w:ind w:firstLine="720"/>
        <w:jc w:val="both"/>
      </w:pPr>
      <w:r>
        <w:rPr>
          <w:rFonts w:ascii="Times New Roman" w:hAnsi="Times New Roman"/>
          <w:sz w:val="28"/>
        </w:rPr>
        <w:t>Chi tiết các khoản mục chi phí được tổng hợp tại bảng dưới đây:</w:t>
      </w:r>
    </w:p>
    <w:tbl>
      <w:tblPr>
        <w:tblW w:type="auto" w:w="0"/>
        <w:jc w:val="center"/>
        <w:tblLayout w:type="fixed"/>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gridCol w:w="425"/>
      </w:tblGrid>
      <w:tr>
        <w:tc>
          <w:tcPr>
            <w:tcW w:type="dxa" w:w="850"/>
            <w:tcMar>
              <w:top w:w="120" w:type="dxa"/>
              <w:bottom w:w="120" w:type="dxa"/>
              <w:left w:w="100" w:type="dxa"/>
              <w:right w:w="100" w:type="dxa"/>
            </w:tcMar>
          </w:tcPr>
          <w:p>
            <w:pPr>
              <w:spacing w:before="0" w:after="0"/>
              <w:jc w:val="center"/>
            </w:pPr>
            <w:r>
              <w:rPr>
                <w:rFonts w:ascii="Times New Roman" w:hAnsi="Times New Roman"/>
                <w:b/>
                <w:sz w:val="26"/>
              </w:rPr>
              <w:t>STT</w:t>
            </w:r>
          </w:p>
        </w:tc>
        <w:tc>
          <w:tcPr>
            <w:tcW w:type="dxa" w:w="4535"/>
            <w:tcMar>
              <w:top w:w="120" w:type="dxa"/>
              <w:bottom w:w="120" w:type="dxa"/>
              <w:left w:w="100" w:type="dxa"/>
              <w:right w:w="100" w:type="dxa"/>
            </w:tcMar>
          </w:tcPr>
          <w:p>
            <w:pPr>
              <w:spacing w:before="0" w:after="0"/>
              <w:jc w:val="center"/>
            </w:pPr>
            <w:r>
              <w:rPr>
                <w:rFonts w:ascii="Times New Roman" w:hAnsi="Times New Roman"/>
                <w:b/>
                <w:sz w:val="26"/>
              </w:rPr>
              <w:t>Nội dung chi phí / Hạng mục</w:t>
            </w:r>
          </w:p>
        </w:tc>
        <w:tc>
          <w:tcPr>
            <w:tcW w:type="dxa" w:w="1984"/>
            <w:tcMar>
              <w:top w:w="120" w:type="dxa"/>
              <w:bottom w:w="120" w:type="dxa"/>
              <w:left w:w="100" w:type="dxa"/>
              <w:right w:w="100" w:type="dxa"/>
            </w:tcMar>
          </w:tcPr>
          <w:p>
            <w:pPr>
              <w:spacing w:before="0" w:after="0"/>
              <w:jc w:val="center"/>
            </w:pPr>
            <w:r>
              <w:rPr>
                <w:rFonts w:ascii="Times New Roman" w:hAnsi="Times New Roman"/>
                <w:b/>
                <w:sz w:val="26"/>
              </w:rPr>
              <w:t>Giá trị (VNĐ)</w:t>
            </w:r>
          </w:p>
        </w:tc>
        <w:tc>
          <w:tcPr>
            <w:tcW w:type="dxa" w:w="1984"/>
            <w:tcMar>
              <w:top w:w="120" w:type="dxa"/>
              <w:bottom w:w="120" w:type="dxa"/>
              <w:left w:w="100" w:type="dxa"/>
              <w:right w:w="100" w:type="dxa"/>
            </w:tcMar>
          </w:tcPr>
          <w:p>
            <w:pPr>
              <w:spacing w:before="0" w:after="0"/>
              <w:jc w:val="center"/>
            </w:pPr>
            <w:r>
              <w:rPr>
                <w:rFonts w:ascii="Times New Roman" w:hAnsi="Times New Roman"/>
                <w:b/>
                <w:sz w:val="26"/>
              </w:rPr>
              <w:t>Ghi chú</w:t>
            </w:r>
          </w:p>
        </w:tc>
      </w:tr>
      <w:tr>
        <w:tc>
          <w:tcPr>
            <w:tcW w:type="dxa" w:w="850"/>
            <w:tcMar>
              <w:top w:w="100" w:type="dxa"/>
              <w:bottom w:w="100" w:type="dxa"/>
              <w:left w:w="100" w:type="dxa"/>
              <w:right w:w="100" w:type="dxa"/>
            </w:tcMar>
          </w:tcPr>
          <w:p>
            <w:pPr>
              <w:spacing w:before="0" w:after="0"/>
              <w:jc w:val="center"/>
            </w:pPr>
            <w:r>
              <w:rPr>
                <w:rFonts w:ascii="Times New Roman" w:hAnsi="Times New Roman"/>
                <w:sz w:val="26"/>
              </w:rPr>
              <w:t xml:space="preserve">1</w:t>
            </w:r>
          </w:p>
        </w:tc>
        <w:tc>
          <w:tcPr>
            <w:tcW w:type="dxa" w:w="4535"/>
            <w:tcMar>
              <w:top w:w="100" w:type="dxa"/>
              <w:bottom w:w="100" w:type="dxa"/>
              <w:left w:w="100" w:type="dxa"/>
              <w:right w:w="100" w:type="dxa"/>
            </w:tcMar>
          </w:tcPr>
          <w:p>
            <w:pPr>
              <w:spacing w:before="0" w:after="0"/>
              <w:jc w:val="left"/>
            </w:pPr>
            <w:r>
              <w:rPr>
                <w:rFonts w:ascii="Times New Roman" w:hAnsi="Times New Roman"/>
                <w:sz w:val="26"/>
              </w:rPr>
              <w:t xml:space="preserve">Chi phí lập nhiệm vụ và dự toán chuẩn bị đầu tư</w:t>
            </w:r>
          </w:p>
        </w:tc>
        <w:tc>
          <w:tcPr>
            <w:tcW w:type="dxa" w:w="1984"/>
            <w:tcMar>
              <w:top w:w="100" w:type="dxa"/>
              <w:bottom w:w="100" w:type="dxa"/>
              <w:left w:w="100" w:type="dxa"/>
              <w:right w:w="100" w:type="dxa"/>
            </w:tcMar>
          </w:tcPr>
          <w:p>
            <w:pPr>
              <w:spacing w:before="0" w:after="0"/>
              <w:jc w:val="right"/>
            </w:pPr>
            <w:r>
              <w:rPr>
                <w:rFonts w:ascii="Times New Roman" w:hAnsi="Times New Roman"/>
                <w:sz w:val="26"/>
              </w:rPr>
              <w:t xml:space="preserve">15.000.000</w:t>
            </w:r>
          </w:p>
        </w:tc>
        <w:tc>
          <w:tcPr>
            <w:tcW w:type="dxa" w:w="1984"/>
            <w:tcMar>
              <w:top w:w="100" w:type="dxa"/>
              <w:bottom w:w="100" w:type="dxa"/>
              <w:left w:w="100" w:type="dxa"/>
              <w:right w:w="100" w:type="dxa"/>
            </w:tcMar>
          </w:tcPr>
          <w:p>
            <w:pPr>
              <w:spacing w:before="0" w:after="0"/>
              <w:jc w:val="left"/>
            </w:pPr>
            <w:r>
              <w:rPr>
                <w:rFonts w:ascii="Times New Roman" w:hAnsi="Times New Roman"/>
                <w:sz w:val="26"/>
              </w:rPr>
              <w:t xml:space="preserve">Theo định mức BXD2</w:t>
            </w:r>
          </w:p>
        </w:tc>
        <w:tc>
          <w:tcPr>
            <w:tcW w:type="dxa" w:w="4535"/>
            <w:tcMar>
              <w:top w:w="100" w:type="dxa"/>
              <w:bottom w:w="100" w:type="dxa"/>
              <w:left w:w="100" w:type="dxa"/>
              <w:right w:w="100" w:type="dxa"/>
            </w:tcMar>
          </w:tcPr>
          <w:p>
            <w:pPr>
              <w:spacing w:before="0" w:after="0"/>
              <w:jc w:val="left"/>
            </w:pPr>
            <w:r>
              <w:rPr>
                <w:rFonts w:ascii="Times New Roman" w:hAnsi="Times New Roman"/>
                <w:sz w:val="26"/>
              </w:rPr>
              <w:t xml:space="preserve">Chi phí khảo sát xây dựng hiện trạng</w:t>
            </w:r>
          </w:p>
        </w:tc>
        <w:tc>
          <w:tcPr>
            <w:tcW w:type="dxa" w:w="1984"/>
            <w:tcMar>
              <w:top w:w="100" w:type="dxa"/>
              <w:bottom w:w="100" w:type="dxa"/>
              <w:left w:w="100" w:type="dxa"/>
              <w:right w:w="100" w:type="dxa"/>
            </w:tcMar>
          </w:tcPr>
          <w:p>
            <w:pPr>
              <w:spacing w:before="0" w:after="0"/>
              <w:jc w:val="right"/>
            </w:pPr>
            <w:r>
              <w:rPr>
                <w:rFonts w:ascii="Times New Roman" w:hAnsi="Times New Roman"/>
                <w:sz w:val="26"/>
              </w:rPr>
              <w:t xml:space="preserve">35.000.000</w:t>
            </w:r>
          </w:p>
        </w:tc>
        <w:tc>
          <w:tcPr>
            <w:tcW w:type="dxa" w:w="1984"/>
            <w:tcMar>
              <w:top w:w="100" w:type="dxa"/>
              <w:bottom w:w="100" w:type="dxa"/>
              <w:left w:w="100" w:type="dxa"/>
              <w:right w:w="100" w:type="dxa"/>
            </w:tcMar>
          </w:tcPr>
          <w:p>
            <w:pPr>
              <w:spacing w:before="0" w:after="0"/>
              <w:jc w:val="left"/>
            </w:pPr>
            <w:r>
              <w:rPr>
                <w:rFonts w:ascii="Times New Roman" w:hAnsi="Times New Roman"/>
                <w:sz w:val="26"/>
              </w:rPr>
              <w:t xml:space="preserve">Khảo sát thực địa3</w:t>
            </w:r>
          </w:p>
        </w:tc>
        <w:tc>
          <w:tcPr>
            <w:tcW w:type="dxa" w:w="4535"/>
            <w:tcMar>
              <w:top w:w="100" w:type="dxa"/>
              <w:bottom w:w="100" w:type="dxa"/>
              <w:left w:w="100" w:type="dxa"/>
              <w:right w:w="100" w:type="dxa"/>
            </w:tcMar>
          </w:tcPr>
          <w:p>
            <w:pPr>
              <w:spacing w:before="0" w:after="0"/>
              <w:jc w:val="left"/>
            </w:pPr>
            <w:r>
              <w:rPr>
                <w:rFonts w:ascii="Times New Roman" w:hAnsi="Times New Roman"/>
                <w:sz w:val="26"/>
              </w:rPr>
              <w:t xml:space="preserve">Chi phí lập Báo cáo kinh tế - kỹ thuật</w:t>
            </w:r>
          </w:p>
        </w:tc>
        <w:tc>
          <w:tcPr>
            <w:tcW w:type="dxa" w:w="1984"/>
            <w:tcMar>
              <w:top w:w="100" w:type="dxa"/>
              <w:bottom w:w="100" w:type="dxa"/>
              <w:left w:w="100" w:type="dxa"/>
              <w:right w:w="100" w:type="dxa"/>
            </w:tcMar>
          </w:tcPr>
          <w:p>
            <w:pPr>
              <w:spacing w:before="0" w:after="0"/>
              <w:jc w:val="right"/>
            </w:pPr>
            <w:r>
              <w:rPr>
                <w:rFonts w:ascii="Times New Roman" w:hAnsi="Times New Roman"/>
                <w:sz w:val="26"/>
              </w:rPr>
              <w:t xml:space="preserve">120.000.000</w:t>
            </w:r>
          </w:p>
        </w:tc>
        <w:tc>
          <w:tcPr>
            <w:tcW w:type="dxa" w:w="1984"/>
            <w:tcMar>
              <w:top w:w="100" w:type="dxa"/>
              <w:bottom w:w="100" w:type="dxa"/>
              <w:left w:w="100" w:type="dxa"/>
              <w:right w:w="100" w:type="dxa"/>
            </w:tcMar>
          </w:tcPr>
          <w:p>
            <w:pPr>
              <w:spacing w:before="0" w:after="0"/>
              <w:jc w:val="left"/>
            </w:pPr>
            <w:r>
              <w:rPr>
                <w:rFonts w:ascii="Times New Roman" w:hAnsi="Times New Roman"/>
                <w:sz w:val="26"/>
              </w:rPr>
              <w:t xml:space="preserve">Thiết kế BVTC  dự toán4</w:t>
            </w:r>
          </w:p>
        </w:tc>
        <w:tc>
          <w:tcPr>
            <w:tcW w:type="dxa" w:w="4535"/>
            <w:tcMar>
              <w:top w:w="100" w:type="dxa"/>
              <w:bottom w:w="100" w:type="dxa"/>
              <w:left w:w="100" w:type="dxa"/>
              <w:right w:w="100" w:type="dxa"/>
            </w:tcMar>
          </w:tcPr>
          <w:p>
            <w:pPr>
              <w:spacing w:before="0" w:after="0"/>
              <w:jc w:val="left"/>
            </w:pPr>
            <w:r>
              <w:rPr>
                <w:rFonts w:ascii="Times New Roman" w:hAnsi="Times New Roman"/>
                <w:sz w:val="26"/>
              </w:rPr>
              <w:t xml:space="preserve">Chi phí thẩm tra Báo cáo kinh tế - kỹ thuật</w:t>
            </w:r>
          </w:p>
        </w:tc>
        <w:tc>
          <w:tcPr>
            <w:tcW w:type="dxa" w:w="1984"/>
            <w:tcMar>
              <w:top w:w="100" w:type="dxa"/>
              <w:bottom w:w="100" w:type="dxa"/>
              <w:left w:w="100" w:type="dxa"/>
              <w:right w:w="100" w:type="dxa"/>
            </w:tcMar>
          </w:tcPr>
          <w:p>
            <w:pPr>
              <w:spacing w:before="0" w:after="0"/>
              <w:jc w:val="right"/>
            </w:pPr>
            <w:r>
              <w:rPr>
                <w:rFonts w:ascii="Times New Roman" w:hAnsi="Times New Roman"/>
                <w:sz w:val="26"/>
              </w:rPr>
              <w:t xml:space="preserve">18.000.000</w:t>
            </w:r>
          </w:p>
        </w:tc>
        <w:tc>
          <w:tcPr>
            <w:tcW w:type="dxa" w:w="1984"/>
            <w:tcMar>
              <w:top w:w="100" w:type="dxa"/>
              <w:bottom w:w="100" w:type="dxa"/>
              <w:left w:w="100" w:type="dxa"/>
              <w:right w:w="100" w:type="dxa"/>
            </w:tcMar>
          </w:tcPr>
          <w:p>
            <w:pPr>
              <w:spacing w:before="0" w:after="0"/>
              <w:jc w:val="left"/>
            </w:pPr>
            <w:r>
              <w:rPr>
                <w:rFonts w:ascii="Times New Roman" w:hAnsi="Times New Roman"/>
                <w:sz w:val="26"/>
              </w:rPr>
              <w:t xml:space="preserve">Đơn vị độc lập5</w:t>
            </w:r>
          </w:p>
        </w:tc>
        <w:tc>
          <w:tcPr>
            <w:tcW w:type="dxa" w:w="4535"/>
            <w:tcMar>
              <w:top w:w="100" w:type="dxa"/>
              <w:bottom w:w="100" w:type="dxa"/>
              <w:left w:w="100" w:type="dxa"/>
              <w:right w:w="100" w:type="dxa"/>
            </w:tcMar>
          </w:tcPr>
          <w:p>
            <w:pPr>
              <w:spacing w:before="0" w:after="0"/>
              <w:jc w:val="left"/>
            </w:pPr>
            <w:r>
              <w:rPr>
                <w:rFonts w:ascii="Times New Roman" w:hAnsi="Times New Roman"/>
                <w:sz w:val="26"/>
              </w:rPr>
              <w:t xml:space="preserve">Chi phí thi công xây lắp sửa chữa</w:t>
            </w:r>
          </w:p>
        </w:tc>
        <w:tc>
          <w:tcPr>
            <w:tcW w:type="dxa" w:w="1984"/>
            <w:tcMar>
              <w:top w:w="100" w:type="dxa"/>
              <w:bottom w:w="100" w:type="dxa"/>
              <w:left w:w="100" w:type="dxa"/>
              <w:right w:w="100" w:type="dxa"/>
            </w:tcMar>
          </w:tcPr>
          <w:p>
            <w:pPr>
              <w:spacing w:before="0" w:after="0"/>
              <w:jc w:val="right"/>
            </w:pPr>
            <w:r>
              <w:rPr>
                <w:rFonts w:ascii="Times New Roman" w:hAnsi="Times New Roman"/>
                <w:sz w:val="26"/>
              </w:rPr>
              <w:t xml:space="preserve">610.000.000</w:t>
            </w:r>
          </w:p>
        </w:tc>
        <w:tc>
          <w:tcPr>
            <w:tcW w:type="dxa" w:w="1984"/>
            <w:tcMar>
              <w:top w:w="100" w:type="dxa"/>
              <w:bottom w:w="100" w:type="dxa"/>
              <w:left w:w="100" w:type="dxa"/>
              <w:right w:w="100" w:type="dxa"/>
            </w:tcMar>
          </w:tcPr>
          <w:p>
            <w:pPr>
              <w:spacing w:before="0" w:after="0"/>
              <w:jc w:val="left"/>
            </w:pPr>
            <w:r>
              <w:rPr>
                <w:rFonts w:ascii="Times New Roman" w:hAnsi="Times New Roman"/>
                <w:sz w:val="26"/>
              </w:rPr>
              <w:t xml:space="preserve">Xây trát, ốp lát, sơn bả6</w:t>
            </w:r>
          </w:p>
        </w:tc>
        <w:tc>
          <w:tcPr>
            <w:tcW w:type="dxa" w:w="4535"/>
            <w:tcMar>
              <w:top w:w="100" w:type="dxa"/>
              <w:bottom w:w="100" w:type="dxa"/>
              <w:left w:w="100" w:type="dxa"/>
              <w:right w:w="100" w:type="dxa"/>
            </w:tcMar>
          </w:tcPr>
          <w:p>
            <w:pPr>
              <w:spacing w:before="0" w:after="0"/>
              <w:jc w:val="left"/>
            </w:pPr>
            <w:r>
              <w:rPr>
                <w:rFonts w:ascii="Times New Roman" w:hAnsi="Times New Roman"/>
                <w:sz w:val="26"/>
              </w:rPr>
              <w:t xml:space="preserve">Chi phí quản lý dự án  tư vấn khác</w:t>
            </w:r>
          </w:p>
        </w:tc>
        <w:tc>
          <w:tcPr>
            <w:tcW w:type="dxa" w:w="1984"/>
            <w:tcMar>
              <w:top w:w="100" w:type="dxa"/>
              <w:bottom w:w="100" w:type="dxa"/>
              <w:left w:w="100" w:type="dxa"/>
              <w:right w:w="100" w:type="dxa"/>
            </w:tcMar>
          </w:tcPr>
          <w:p>
            <w:pPr>
              <w:spacing w:before="0" w:after="0"/>
              <w:jc w:val="right"/>
            </w:pPr>
            <w:r>
              <w:rPr>
                <w:rFonts w:ascii="Times New Roman" w:hAnsi="Times New Roman"/>
                <w:sz w:val="26"/>
              </w:rPr>
              <w:t xml:space="preserve">22.000.000</w:t>
            </w:r>
          </w:p>
        </w:tc>
        <w:tc>
          <w:tcPr>
            <w:tcW w:type="dxa" w:w="1984"/>
            <w:tcMar>
              <w:top w:w="100" w:type="dxa"/>
              <w:bottom w:w="100" w:type="dxa"/>
              <w:left w:w="100" w:type="dxa"/>
              <w:right w:w="100" w:type="dxa"/>
            </w:tcMar>
          </w:tcPr>
          <w:p>
            <w:pPr>
              <w:spacing w:before="0" w:after="0"/>
              <w:jc w:val="left"/>
            </w:pPr>
            <w:r>
              <w:rPr>
                <w:rFonts w:ascii="Times New Roman" w:hAnsi="Times New Roman"/>
                <w:sz w:val="26"/>
              </w:rPr>
              <w:t xml:space="preserve">Nội bộ7</w:t>
            </w:r>
          </w:p>
        </w:tc>
        <w:tc>
          <w:tcPr>
            <w:tcW w:type="dxa" w:w="4535"/>
            <w:tcMar>
              <w:top w:w="100" w:type="dxa"/>
              <w:bottom w:w="100" w:type="dxa"/>
              <w:left w:w="100" w:type="dxa"/>
              <w:right w:w="100" w:type="dxa"/>
            </w:tcMar>
          </w:tcPr>
          <w:p>
            <w:pPr>
              <w:spacing w:before="0" w:after="0"/>
              <w:jc w:val="left"/>
            </w:pPr>
            <w:r>
              <w:rPr>
                <w:rFonts w:ascii="Times New Roman" w:hAnsi="Times New Roman"/>
                <w:sz w:val="26"/>
              </w:rPr>
              <w:t xml:space="preserve">Chi phí dự phòng</w:t>
            </w:r>
          </w:p>
        </w:tc>
        <w:tc>
          <w:tcPr>
            <w:tcW w:type="dxa" w:w="1984"/>
            <w:tcMar>
              <w:top w:w="100" w:type="dxa"/>
              <w:bottom w:w="100" w:type="dxa"/>
              <w:left w:w="100" w:type="dxa"/>
              <w:right w:w="100" w:type="dxa"/>
            </w:tcMar>
          </w:tcPr>
          <w:p>
            <w:pPr>
              <w:spacing w:before="0" w:after="0"/>
              <w:jc w:val="right"/>
            </w:pPr>
            <w:r>
              <w:rPr>
                <w:rFonts w:ascii="Times New Roman" w:hAnsi="Times New Roman"/>
                <w:sz w:val="26"/>
              </w:rPr>
              <w:t xml:space="preserve">30.000.000</w:t>
            </w:r>
          </w:p>
        </w:tc>
        <w:tc>
          <w:tcPr>
            <w:tcW w:type="dxa" w:w="1984"/>
            <w:tcMar>
              <w:top w:w="100" w:type="dxa"/>
              <w:bottom w:w="100" w:type="dxa"/>
              <w:left w:w="100" w:type="dxa"/>
              <w:right w:w="100" w:type="dxa"/>
            </w:tcMar>
          </w:tcPr>
          <w:p>
            <w:pPr>
              <w:spacing w:before="0" w:after="0"/>
              <w:jc w:val="left"/>
            </w:pPr>
            <w:r>
              <w:rPr>
                <w:rFonts w:ascii="Times New Roman" w:hAnsi="Times New Roman"/>
                <w:sz w:val="26"/>
              </w:rPr>
              <w:t xml:space="preserve">Khoảng 5%</w:t>
            </w:r>
          </w:p>
        </w:tc>
      </w:tr>
    </w:tbl>
    <w:p>
      <w:pPr>
        <w:spacing w:before="0" w:after="80" w:line="240" w:lineRule="auto"/>
        <w:ind w:firstLine="720"/>
        <w:jc w:val="both"/>
      </w:pPr>
      <w:r>
        <w:rPr>
          <w:rFonts w:ascii="Times New Roman" w:hAnsi="Times New Roman"/>
          <w:b/>
          <w:sz w:val="28"/>
        </w:rPr>
        <w:t xml:space="preserve">7. Hình thức lựa chọn nhà thầu: Chỉ </w:t>
      </w:r>
      <w:r>
        <w:rPr>
          <w:rFonts w:ascii="Times New Roman" w:hAnsi="Times New Roman"/>
          <w:sz w:val="28"/>
        </w:rPr>
        <w:t>định thầu rút gọn theo quy định tại Điều 23 Luật Đấu thầu 2023 và Điều 78 Nghị định 24/2024/NĐ-CP.</w:t>
      </w:r>
    </w:p>
    <w:p>
      <w:pPr>
        <w:spacing w:before="0" w:after="80" w:line="240" w:lineRule="auto"/>
        <w:ind w:firstLine="720"/>
        <w:jc w:val="both"/>
      </w:pPr>
      <w:r>
        <w:rPr>
          <w:rFonts w:ascii="Times New Roman" w:hAnsi="Times New Roman"/>
          <w:b/>
          <w:sz w:val="28"/>
        </w:rPr>
        <w:t>8. Đơn vị đề xuất chỉ định thầu</w:t>
      </w:r>
      <w:r>
        <w:rPr>
          <w:rFonts w:ascii="Times New Roman" w:hAnsi="Times New Roman"/>
          <w:sz w:val="28"/>
        </w:rPr>
        <w:t xml:space="preserve">: Công ty Cổ phần Tư vấn Thiết kế Xây dựng Hoàng Mai.</w:t>
      </w:r>
    </w:p>
    <w:p>
      <w:pPr>
        <w:spacing w:before="0" w:after="80" w:line="240" w:lineRule="auto"/>
        <w:ind w:firstLine="720"/>
        <w:jc w:val="both"/>
      </w:pPr>
      <w:r>
        <w:rPr>
          <w:rFonts w:ascii="Times New Roman" w:hAnsi="Times New Roman"/>
          <w:sz w:val="28"/>
        </w:rPr>
        <w:t>Kính trình Thủ trưởng đơn vị xem xét, quyết định phê duyệt./.</w:t>
      </w:r>
    </w:p>
    <w:tbl>
      <w:tblPr>
        <w:tblW w:type="auto" w:w="0"/>
        <w:jc w:val="center"/>
        <w:tblLayout w:type="fixed"/>
        <w:tblLook w:firstColumn="1" w:firstRow="1" w:lastColumn="0" w:lastRow="0" w:noHBand="0" w:noVBand="1" w:val="04A0"/>
      </w:tblPr>
      <w:tblGrid>
        <w:gridCol w:w="3969"/>
        <w:gridCol w:w="5386"/>
      </w:tblGrid>
      <w:tr>
        <w:tc>
          <w:tcPr>
            <w:tcW w:type="dxa" w:w="4677"/>
          </w:tcPr>
          <w:p>
            <w:pPr>
              <w:spacing w:before="120" w:after="40" w:line="240" w:lineRule="auto"/>
            </w:pPr>
            <w:r>
              <w:rPr>
                <w:rFonts w:ascii="Times New Roman" w:hAnsi="Times New Roman"/>
                <w:b/>
                <w:i/>
                <w:sz w:val="24"/>
              </w:rPr>
              <w:t>Nơi nhận:</w:t>
            </w:r>
          </w:p>
          <w:p>
            <w:pPr>
              <w:spacing w:before="0" w:after="20" w:line="240" w:lineRule="auto"/>
            </w:pPr>
            <w:r>
              <w:rPr>
                <w:rFonts w:ascii="Times New Roman" w:hAnsi="Times New Roman"/>
                <w:sz w:val="22"/>
              </w:rPr>
              <w:t>- Như kính gửi;</w:t>
            </w:r>
          </w:p>
          <w:p>
            <w:pPr>
              <w:spacing w:before="0" w:after="20" w:line="240" w:lineRule="auto"/>
            </w:pPr>
            <w:r>
              <w:rPr>
                <w:rFonts w:ascii="Times New Roman" w:hAnsi="Times New Roman"/>
                <w:sz w:val="22"/>
              </w:rPr>
              <w:t>- Ban Giám hiệu (để b/c);</w:t>
            </w:r>
          </w:p>
          <w:p>
            <w:pPr>
              <w:spacing w:before="0" w:after="20" w:line="240" w:lineRule="auto"/>
            </w:pPr>
            <w:r>
              <w:rPr>
                <w:rFonts w:ascii="Times New Roman" w:hAnsi="Times New Roman"/>
                <w:sz w:val="22"/>
              </w:rPr>
              <w:t>- Phòng Đào tạo, Hậu cần;</w:t>
            </w:r>
          </w:p>
          <w:p>
            <w:pPr>
              <w:spacing w:before="0" w:after="20" w:line="240" w:lineRule="auto"/>
            </w:pPr>
            <w:r>
              <w:rPr>
                <w:rFonts w:ascii="Times New Roman" w:hAnsi="Times New Roman"/>
                <w:sz w:val="22"/>
              </w:rPr>
              <w:t>- Lưu: VT, BQLDA.</w:t>
            </w:r>
          </w:p>
        </w:tc>
        <w:tc>
          <w:tcPr>
            <w:tcW w:type="dxa" w:w="4677"/>
          </w:tcPr>
          <w:p>
            <w:pPr>
              <w:spacing w:before="120" w:after="0" w:line="240" w:lineRule="auto"/>
              <w:jc w:val="center"/>
            </w:pPr>
            <w:r>
              <w:rPr>
                <w:rFonts w:ascii="Times New Roman" w:hAnsi="Times New Roman"/>
                <w:b/>
                <w:sz w:val="28"/>
              </w:rPr>
              <w:t xml:space="preserve">TRƯỞNG BAN</w:t>
            </w: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jc w:val="center"/>
            </w:pPr>
            <w:r>
              <w:rPr>
                <w:rFonts w:ascii="Times New Roman" w:hAnsi="Times New Roman"/>
                <w:b/>
                <w:sz w:val="28"/>
              </w:rPr>
              <w:t xml:space="preserve">Thượng tá Nguyễn Văn Hoàng</w:t>
            </w:r>
          </w:p>
        </w:tc>
      </w:tr>
    </w:tbl>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