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7FCE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312" w:lineRule="atLeast"/>
        <w:ind w:left="-360" w:leftChars="0" w:right="0" w:rightChars="0"/>
        <w:textAlignment w:val="baseline"/>
        <w:rPr>
          <w:sz w:val="24"/>
          <w:szCs w:val="24"/>
        </w:rPr>
      </w:pPr>
    </w:p>
    <w:p w14:paraId="6817B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lang w:val="en-US" w:bidi="ar-EG"/>
        </w:rPr>
      </w:pPr>
      <w:r>
        <w:rPr>
          <w:rStyle w:val="92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الشكل: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عرض تقديمي حي مدة </w:t>
      </w:r>
      <w:r>
        <w:rPr>
          <w:rStyle w:val="92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15 دقيقة فقط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أمام لجنة تحكيمENPPI XpertGate</w:t>
      </w:r>
    </w:p>
    <w:p w14:paraId="72F1CD0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312" w:lineRule="atLeast"/>
        <w:ind w:right="0" w:rightChars="0"/>
        <w:textAlignment w:val="baseline"/>
        <w:rPr>
          <w:sz w:val="24"/>
          <w:szCs w:val="24"/>
        </w:rPr>
      </w:pPr>
    </w:p>
    <w:p w14:paraId="25ABB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sz w:val="24"/>
          <w:szCs w:val="24"/>
        </w:rPr>
      </w:pPr>
      <w:r>
        <w:rPr>
          <w:rStyle w:val="92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التخصص: </w:t>
      </w:r>
    </w:p>
    <w:p w14:paraId="09F3D8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مقياس التقييم (1–5 لكل بند)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696"/>
      </w:tblGrid>
      <w:tr w14:paraId="77B44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CEB5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الدرجة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1200" w:type="dxa"/>
            </w:tcMar>
            <w:vAlign w:val="top"/>
          </w:tcPr>
          <w:p w14:paraId="1AAEF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التفسير </w:t>
            </w:r>
          </w:p>
        </w:tc>
      </w:tr>
    </w:tbl>
    <w:p w14:paraId="02B89BA1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5"/>
        <w:gridCol w:w="1698"/>
      </w:tblGrid>
      <w:tr w14:paraId="6DF7D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6750A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EF3B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يفوق المعايير الدولية</w:t>
            </w:r>
          </w:p>
        </w:tc>
      </w:tr>
      <w:tr w14:paraId="418B1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3630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F97E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يلبي المعايير بامتياز</w:t>
            </w:r>
          </w:p>
        </w:tc>
      </w:tr>
      <w:tr w14:paraId="4CB1D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307F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B845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يلبي المعايير</w:t>
            </w:r>
          </w:p>
        </w:tc>
      </w:tr>
      <w:tr w14:paraId="7ED5D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07F2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C40C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يلبيها جزئياً</w:t>
            </w:r>
          </w:p>
        </w:tc>
      </w:tr>
      <w:tr w14:paraId="61B60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8C59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1CC1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لا يلبيها</w:t>
            </w:r>
          </w:p>
        </w:tc>
      </w:tr>
    </w:tbl>
    <w:p w14:paraId="59FF862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21"/>
          <w:szCs w:val="21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A1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المعيار 1: الرصانة العلمية والاحترافية (25%)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6"/>
        <w:gridCol w:w="521"/>
        <w:gridCol w:w="1623"/>
      </w:tblGrid>
      <w:tr w14:paraId="330BC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B1B6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#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0F9F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البند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1200" w:type="dxa"/>
            </w:tcMar>
            <w:vAlign w:val="top"/>
          </w:tcPr>
          <w:p w14:paraId="4DE2A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1–5 </w:t>
            </w:r>
          </w:p>
        </w:tc>
      </w:tr>
    </w:tbl>
    <w:p w14:paraId="61D65F5A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6205"/>
        <w:gridCol w:w="246"/>
      </w:tblGrid>
      <w:tr w14:paraId="70F5A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58BC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0EFB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عمق المحتوى وحداثته ومواكبته لأحدث المستجدات والمراجع العالمية في التخصص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027AE03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26545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6B41C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AA55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التمييز الصريح بين خبرته الشخصية والأدلة العلمية المؤيدة (مع ذكر المصادر)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26DE05FB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64316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67659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27C6A3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ربط المحتوى بتطبيقات واقعية قابلة للتنفيذ في بيئة عمل المتدرب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A7EA514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</w:tbl>
    <w:p w14:paraId="5A0111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المعيار 2: هندسة العرض في 15 دقيقة (20%)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6"/>
        <w:gridCol w:w="521"/>
        <w:gridCol w:w="1623"/>
      </w:tblGrid>
      <w:tr w14:paraId="43126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7A31D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#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83AE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البند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1200" w:type="dxa"/>
            </w:tcMar>
            <w:vAlign w:val="top"/>
          </w:tcPr>
          <w:p w14:paraId="01B91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1–5 </w:t>
            </w:r>
          </w:p>
        </w:tc>
      </w:tr>
    </w:tbl>
    <w:p w14:paraId="48068897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6298"/>
        <w:gridCol w:w="246"/>
      </w:tblGrid>
      <w:tr w14:paraId="7139E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2A6A9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69707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بنية عرض محكمة: مدخل جاذب في أول دقيقتين، تطور منطقي، وخاتمة مؤثرة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D52908D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36E28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2FB1D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4EBC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الالتزام الصارم بالوقت (15 دقيقة) مع إدارة الإيقاع دون إخلال بالمحتوى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368B92A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4006B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DEDC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336C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تصميم بصري احترافي: شرائح موجزة، رسوم توضيحية، وأدوات تقنية تعمل بكفاءة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7187EE1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</w:tbl>
    <w:p w14:paraId="0D8382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المعيار 3: فن الإلقاء والأداء الحضوري (25%) — الأثقل وزناً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6"/>
        <w:gridCol w:w="521"/>
        <w:gridCol w:w="1623"/>
      </w:tblGrid>
      <w:tr w14:paraId="49BB4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B3B72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#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A21B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البند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1200" w:type="dxa"/>
            </w:tcMar>
            <w:vAlign w:val="top"/>
          </w:tcPr>
          <w:p w14:paraId="1CBE7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1–5 </w:t>
            </w:r>
          </w:p>
        </w:tc>
      </w:tr>
    </w:tbl>
    <w:p w14:paraId="5A5CB4A6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7215"/>
        <w:gridCol w:w="246"/>
      </w:tblGrid>
      <w:tr w14:paraId="3F61F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2F90B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5A04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لغة واضحة ومصطلحات دقيقة تناسب جمهوراً متعدد التخصصات دون تبسيط مخل أو تعقيم ممل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D1AAF02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13DF9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95A6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C287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تواصل غير لفظي مؤثر: لغة جسد، توزيع نظرات، واستخدام مسرحية للقاعة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045D8ED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379C3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88B61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634F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حضور قيادي وحضور ذهني: الاستجابة لأسئلة اللجنة بثقة ودقة خلال جلسة الأسئلة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F161816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</w:tbl>
    <w:p w14:paraId="6019B6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المعيار 4: التفاعل وإدارة القاعة (15%)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6"/>
        <w:gridCol w:w="521"/>
        <w:gridCol w:w="1623"/>
      </w:tblGrid>
      <w:tr w14:paraId="69B42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374D0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#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F86E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البند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1200" w:type="dxa"/>
            </w:tcMar>
            <w:vAlign w:val="top"/>
          </w:tcPr>
          <w:p w14:paraId="40444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1–5 </w:t>
            </w:r>
          </w:p>
        </w:tc>
      </w:tr>
    </w:tbl>
    <w:p w14:paraId="4CF097CF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6944"/>
        <w:gridCol w:w="246"/>
      </w:tblGrid>
      <w:tr w14:paraId="10C96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F40E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F4C5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افتعال نقاط تفاعلية ذكية (سؤال موجّه، استطلاع سريع، تمرين مصغر) رغم محدودية الوقت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220A6F1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22DDA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595C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E629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قراءة طاقة القاعة وتعديل الأسلوب فوراً عند فقدان الانتباه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F0FB564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02C69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6501E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A809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إشراك اللجنة والحضور دون أن يتحول العرض إلى نقاش جانبي يهدر الوقت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26AFD8AF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</w:tbl>
    <w:p w14:paraId="54F22C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المعيار 5: الأثر والقيمة المضافة (15%)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6"/>
        <w:gridCol w:w="521"/>
        <w:gridCol w:w="1623"/>
      </w:tblGrid>
      <w:tr w14:paraId="3189B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1670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#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AE78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البند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1200" w:type="dxa"/>
            </w:tcMar>
            <w:vAlign w:val="top"/>
          </w:tcPr>
          <w:p w14:paraId="493B1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1–5 </w:t>
            </w:r>
          </w:p>
        </w:tc>
      </w:tr>
    </w:tbl>
    <w:p w14:paraId="51D03F9C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6835"/>
        <w:gridCol w:w="246"/>
      </w:tblGrid>
      <w:tr w14:paraId="1D4EB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31E7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ECA95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ترك المتدرب بمخرجات ملموسة: إطار عمل، أدوات، أو خطة تطبيق يمكن استخدامها فوراً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975D5EE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0EB4F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A22C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301B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إثبات قيمة مضافة فريدة تميز الخبير عن غيره (رؤية خاصة أو منهجية مبتكرة)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1F229C2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  <w:tr w14:paraId="5F406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56880C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B5AD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الإجابة عن السؤال الجوهري: "ماذا سأفعل مختلفاً غداً بعد هذا العرض؟"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BA1C049">
            <w:pPr>
              <w:jc w:val="left"/>
              <w:rPr>
                <w:rFonts w:hint="eastAsia" w:ascii="SimSun"/>
                <w:sz w:val="21"/>
                <w:szCs w:val="21"/>
              </w:rPr>
            </w:pPr>
          </w:p>
        </w:tc>
      </w:tr>
    </w:tbl>
    <w:p w14:paraId="61A52C4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21"/>
          <w:szCs w:val="21"/>
        </w:rPr>
      </w:pPr>
    </w:p>
    <w:p w14:paraId="79CA61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0"/>
          <w:szCs w:val="30"/>
          <w:bdr w:val="none" w:color="auto" w:sz="0" w:space="0"/>
          <w:shd w:val="clear" w:fill="FFFFFF"/>
          <w:vertAlign w:val="baseline"/>
        </w:rPr>
        <w:t>مصفوفة القرار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7"/>
        <w:gridCol w:w="1663"/>
      </w:tblGrid>
      <w:tr w14:paraId="7D58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6E512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المجموع /100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1200" w:type="dxa"/>
            </w:tcMar>
            <w:vAlign w:val="top"/>
          </w:tcPr>
          <w:p w14:paraId="60BF6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النتيجة </w:t>
            </w:r>
          </w:p>
        </w:tc>
      </w:tr>
    </w:tbl>
    <w:p w14:paraId="4CC27D7B">
      <w:pPr>
        <w:rPr>
          <w:vanish/>
          <w:sz w:val="24"/>
          <w:szCs w:val="24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7"/>
        <w:gridCol w:w="2863"/>
      </w:tblGrid>
      <w:tr w14:paraId="08772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6B98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90+</w:t>
            </w:r>
          </w:p>
        </w:tc>
        <w:tc>
          <w:tcPr>
            <w:tcW w:w="286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1E96D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خبير نخبوي — اعتماد فوري + دعوة للتحكيم</w:t>
            </w:r>
          </w:p>
        </w:tc>
      </w:tr>
      <w:tr w14:paraId="6D400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0A235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75–89</w:t>
            </w:r>
          </w:p>
        </w:tc>
        <w:tc>
          <w:tcPr>
            <w:tcW w:w="286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870E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خبير معتمد</w:t>
            </w: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ً</w:t>
            </w:r>
          </w:p>
        </w:tc>
      </w:tr>
      <w:tr w14:paraId="48830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4F77E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60–74</w:t>
            </w:r>
          </w:p>
        </w:tc>
        <w:tc>
          <w:tcPr>
            <w:tcW w:w="286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28776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اعتماد مشروط — إعادة عرض خلال 6 أشهر</w:t>
            </w:r>
          </w:p>
        </w:tc>
      </w:tr>
      <w:tr w14:paraId="61F24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30D0E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&lt;60</w:t>
            </w:r>
          </w:p>
        </w:tc>
        <w:tc>
          <w:tcPr>
            <w:tcW w:w="286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50" w:type="dxa"/>
              <w:bottom w:w="150" w:type="dxa"/>
              <w:right w:w="240" w:type="dxa"/>
            </w:tcMar>
            <w:vAlign w:val="top"/>
          </w:tcPr>
          <w:p w14:paraId="7290A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غير مؤهل لهذه الدورة</w:t>
            </w:r>
          </w:p>
        </w:tc>
      </w:tr>
    </w:tbl>
    <w:p w14:paraId="79F9C3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92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قاعدة الإقصاء: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أي درجة ≤2 في البند 1.1 (الرصانة العلمية) أو 2.2 (الالتزام بالوقت) = إقصاء مباشر مهما بلغ المجموع.</w:t>
      </w:r>
    </w:p>
    <w:p w14:paraId="08FA00F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PT Bold Heading">
    <w:panose1 w:val="02010400000000000000"/>
    <w:charset w:val="B2"/>
    <w:family w:val="auto"/>
    <w:pitch w:val="default"/>
    <w:sig w:usb0="00006000" w:usb1="80000000" w:usb2="00000008" w:usb3="00000000" w:csb0="0000004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4325F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B4325F8"/>
    <w:rsid w:val="690A38A1"/>
    <w:rsid w:val="7FB9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50"/>
    <w:qFormat/>
    <w:uiPriority w:val="0"/>
    <w:pPr>
      <w:keepNext/>
      <w:spacing w:before="240" w:after="60"/>
      <w:ind w:left="0" w:right="0"/>
      <w:jc w:val="left"/>
      <w:outlineLvl w:val="0"/>
    </w:pPr>
    <w:rPr>
      <w:rFonts w:ascii="Arial Black" w:hAnsi="Arial Black" w:eastAsia="Times New Roman" w:cs="PT Bold Heading"/>
      <w:color w:val="640000"/>
      <w:kern w:val="32"/>
      <w:sz w:val="24"/>
      <w:szCs w:val="28"/>
      <w:lang w:eastAsia="en-US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- TOC"/>
    <w:basedOn w:val="1"/>
    <w:qFormat/>
    <w:uiPriority w:val="0"/>
    <w:pPr>
      <w:ind w:left="0"/>
      <w:jc w:val="left"/>
    </w:pPr>
    <w:rPr>
      <w:rFonts w:ascii="Times New Roman" w:hAnsi="Times New Roman" w:eastAsiaTheme="minorEastAsia" w:cstheme="majorBidi"/>
      <w:bCs/>
      <w:sz w:val="22"/>
      <w:szCs w:val="28"/>
      <w:lang w:val="en-GB" w:eastAsia="en-US"/>
    </w:rPr>
  </w:style>
  <w:style w:type="character" w:customStyle="1" w:styleId="250">
    <w:name w:val="Heading 1 Char"/>
    <w:basedOn w:val="11"/>
    <w:link w:val="2"/>
    <w:qFormat/>
    <w:uiPriority w:val="0"/>
    <w:rPr>
      <w:rFonts w:ascii="Arial Black" w:hAnsi="Arial Black" w:eastAsia="Times New Roman" w:cs="PT Bold Heading"/>
      <w:color w:val="640000"/>
      <w:kern w:val="32"/>
      <w:sz w:val="24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2026-10-15T10:04:00Z</dcterms:created>
  <dc:creator>hp</dc:creator>
  <cp:lastModifiedBy>hp</cp:lastModifiedBy>
  <dcterms:modified xsi:type="dcterms:W3CDTF">2026-10-15T11:04:42Z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9117FD240A2A497BAFA1F28D1EC17541_11</vt:lpwstr>
  </property>
  <property fmtid="{D5CDD505-2E9C-101B-9397-08002B2CF9AE}" pid="4" name="KSOTemplateDocerSaveRecord">
    <vt:lpwstr>eyJoZGlkIjoiN2VlYTA2ZmE0Y2QwY2JlN2QzYjQ1Y2IxYTIyMDRjYzEiLCJ1c2VySWQiOiIxNDQ0ODk5Nzc3OTU3OSJ9</vt:lpwstr>
  </property>
</Properties>
</file>