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Introduzione</w:t>
      </w:r>
    </w:p>
    <w:p>
      <w:r>
        <w:t>La presente tesi esamina il ruolo del cloud computing nella progettazione e nell’erogazione di una piattaforma web per l’allenamento online, assumendo FitNexus come caso di studio. Il lavoro mette in relazione le esigenze di clienti e professionisti con le scelte architetturali necessarie a gestire dati, contenuti e servizi attraverso la rete. L’obiettivo è comprendere come i componenti applicativi e le integrazioni esterne possano concorrere alla realizzazione di un servizio accessibile e gestibile, individuando anche i limiti della soluzione e le condizioni necessarie per una sua evoluzione.</w:t>
      </w:r>
    </w:p>
    <w:p>
      <w:r>
        <w:t>Il cloud computing costituisce il quadro di riferimento di questa analisi. La definizione del National Institute of Standards and Technology descrive un modello di accesso alla rete, su richiesta, a un insieme condiviso di risorse configurabili, rapidamente assegnabili e rilasciabili [1]. Tale modello offre opportunità in termini di flessibilità e adeguamento delle risorse, ma richiede di considerare disponibilità, costi e dipendenza dai fornitori [2, 3]. L’impiego del cloud viene quindi esaminato come una scelta progettuale che coinvolge sia l’infrastruttura sia le modalità di gestione dell’applicazione.</w:t>
      </w:r>
    </w:p>
    <w:p>
      <w:r>
        <w:t>Nel caso di FitNexus, l’esigenza affrontata consiste nel coordinare il percorso che collega la richiesta di un servizio di allenamento alla consegna del programma. Il cliente si registra, verifica il proprio account, compila un questionario e procede all’acquisto; il trainer prepara una scheda e la pubblica nell’area personale. Il programma è organizzato in settimane, giorni, sezioni ed esercizi, corredati da parametri di allenamento e video dimostrativi. Sono inoltre previste funzioni di coaching online, raccolta dei feedback e consultazione di tutorial. La personalizzazione rimane affidata al professionista: la piattaforma ne supporta l’attività e la distribuzione dei contenuti.</w:t>
      </w:r>
    </w:p>
    <w:p>
      <w:r>
        <w:t>L’architettura comprende un’interfaccia React, un backend Django con API REST, un database MySQL e processi dedicati alle attività in background. La configurazione dei componenti tramite Docker Compose permette di descrivere un’applicazione composta da più container [9]. La containerizzazione viene considerata in rapporto alla portabilità e alla riproducibilità degli ambienti, tenendo conto delle esigenze di sicurezza delle immagini e dell’esecuzione [4]. I principi cloud native e la metodologia Twelve-Factor App forniscono ulteriori criteri per discutere configurazione, separazione dei processi e collegamento ai servizi di supporto [7, 8]. L’adozione dei container non costituisce, da sola, una dimostrazione di scalabilità o alta disponibilità.</w:t>
      </w:r>
    </w:p>
    <w:p>
      <w:r>
        <w:t>Un aspetto centrale riguarda il coordinamento con i servizi esterni: Stripe per i pagamenti, MailerSend per le comunicazioni e Vimeo per i video. Nel flusso di acquisto, la gestione dei webhook richiede di verificare l’autenticità degli eventi e di considerare la possibilità di riceverli più volte [11]. Celery introduce invece un modello di elaborazione basato su code e worker, pertinente alla gestione delle attività differite [10]. Queste integrazioni consentono di approfondire la coerenza dei dati e il comportamento del sistema in presenza di errori, temi trattati nella letteratura sui sistemi distribuiti [6].</w:t>
      </w:r>
    </w:p>
    <w:p>
      <w:r>
        <w:t>Gli obiettivi specifici del lavoro sono descrivere i requisiti dei diversi attori, motivare le scelte tecnologiche e analizzare la distribuzione dei componenti in relazione al modello cloud. La valutazione prende in considerazione il controllo degli accessi, la persistenza delle informazioni e l’esito dei principali flussi applicativi. Il riferimento alla Site Reliability Engineering permette inoltre di inquadrare l’affidabilità come proprietà da osservare attraverso obiettivi e misure, evitando di dedurla dalla sola scelta delle tecnologie [5]. Le caratteristiche verificate saranno distinte dalle possibilità di sviluppo e dalle proprietà non ancora misurate.</w:t>
      </w:r>
    </w:p>
    <w:p>
      <w:r>
        <w:t>Il percorso metodologico integra lo studio delle fonti con l’analisi della documentazione e del codice del progetto, la descrizione delle scelte architetturali e l’esposizione delle verifiche di esecuzione. Il perimetro comprende i processi di accesso, richiesta del servizio, pagamento e fruizione delle schede, insieme alle integrazioni che li sostengono. Le funzionalità parzialmente integrate e le anomalie rilevate sono considerate nella discussione dei limiti, senza equiparare la presenza di un’implementazione alla validazione del suo funzionamento.</w:t>
      </w:r>
    </w:p>
    <w:p>
      <w:r>
        <w:t>La tesi si articola in tre capitoli. Il primo introduce il cloud computing, i modelli di servizio e le principali opportunità e criticità. Il secondo presenta la progettazione e lo sviluppo di FitNexus, approfondendo architettura, tecnologie e distribuzione. Il terzo espone i casi d’uso selezionati e i risultati delle prove, precisandone le condizioni di esecuzione. Le conclusioni ricompongono gli esiti rispetto agli obiettivi iniziali e individuano le prospettive di miglioramento.</w:t>
      </w:r>
    </w:p>
    <w:p>
      <w:r>
        <w:br w:type="page"/>
      </w:r>
    </w:p>
    <w:p>
      <w:pPr>
        <w:pStyle w:val="Heading1"/>
        <w:ind w:firstLine="0"/>
      </w:pPr>
      <w:r>
        <w:t>Capitolo 1 – Contesto di riferimento</w:t>
      </w:r>
    </w:p>
    <w:p>
      <w:pPr>
        <w:widowControl/>
        <w:spacing w:line="360" w:lineRule="auto" w:after="0" w:before="0"/>
        <w:ind w:firstLine="340"/>
        <w:jc w:val="both"/>
      </w:pPr>
      <w:r>
        <w:rPr>
          <w:rFonts w:ascii="Times New Roman" w:hAnsi="Times New Roman"/>
          <w:sz w:val="24"/>
        </w:rPr>
        <w:t>La progettazione di una piattaforma web richiede di definire sia le funzioni offerte agli utenti sia il modo in cui le risorse necessarie vengono rese disponibili. Il cloud computing interviene su questa seconda dimensione e influenza le scelte applicative. Il capitolo ne presenta caratteristiche, modelli e implicazioni, costruendo il quadro teorico per l’analisi di FitNexus. Le tecnologie adottate saranno approfondite nel capitolo successivo; qui vengono individuati i criteri per valutarne il ruolo.</w:t>
      </w:r>
    </w:p>
    <w:p>
      <w:pPr>
        <w:pStyle w:val="Heading2"/>
        <w:ind w:firstLine="0"/>
      </w:pPr>
      <w:r>
        <w:t>1.1 Definizione e caratteristiche del cloud computing</w:t>
      </w:r>
    </w:p>
    <w:p>
      <w:pPr>
        <w:widowControl/>
        <w:spacing w:line="360" w:lineRule="auto" w:after="0" w:before="0"/>
        <w:ind w:firstLine="340"/>
        <w:jc w:val="both"/>
      </w:pPr>
      <w:r>
        <w:rPr>
          <w:rFonts w:ascii="Times New Roman" w:hAnsi="Times New Roman"/>
          <w:sz w:val="24"/>
        </w:rPr>
        <w:t>Secondo il NIST, il cloud computing consente di accedere attraverso la rete a risorse configurabili condivise, ottenibili e rilasciabili rapidamente con un intervento gestionale limitato [1, sezione 2]. L’elemento qualificante riguarda quindi le modalità di disponibilità e gestione delle risorse, oltre alla loro collocazione. L’erogazione di un sito da un server remoto non è sufficiente, da sola, a descrivere un servizio cloud: occorre considerare come la capacità venga assegnata, controllata e adattata alle esigenze.</w:t>
      </w:r>
    </w:p>
    <w:p>
      <w:pPr>
        <w:widowControl/>
        <w:spacing w:line="360" w:lineRule="auto" w:after="0" w:before="0"/>
        <w:ind w:firstLine="340"/>
        <w:jc w:val="both"/>
      </w:pPr>
      <w:r>
        <w:rPr>
          <w:rFonts w:ascii="Times New Roman" w:hAnsi="Times New Roman"/>
          <w:sz w:val="24"/>
        </w:rPr>
        <w:t>La prima caratteristica è il servizio autonomo su richiesta, o on-demand self-service. Il consumatore può ottenere capacità di elaborazione o spazio di archiviazione senza un intervento umano del fornitore per ogni operazione. La seconda è l’accesso esteso attraverso la rete: i servizi sono raggiungibili mediante meccanismi standard, utilizzabili da dispositivi differenti. Si tratta di proprietà dell’erogazione; non implicano che le informazioni debbano essere pubbliche o prive di controlli di autenticazione [1].</w:t>
      </w:r>
    </w:p>
    <w:p>
      <w:pPr>
        <w:widowControl/>
        <w:spacing w:line="360" w:lineRule="auto" w:after="0" w:before="0"/>
        <w:ind w:firstLine="340"/>
        <w:jc w:val="both"/>
      </w:pPr>
      <w:r>
        <w:rPr>
          <w:rFonts w:ascii="Times New Roman" w:hAnsi="Times New Roman"/>
          <w:sz w:val="24"/>
        </w:rPr>
        <w:t>La terza caratteristica è la condivisione delle risorse. Il fornitore organizza capacità fisiche e virtuali in un insieme utilizzato da più consumatori, assegnandole secondo la domanda. Il cliente può non conoscere la posizione esatta dell’hardware, pur potendo scegliere un’area geografica a un livello più generale. La quarta è l’elasticità rapida, cioè la possibilità di espandere e ridurre le risorse disponibili. L’automazione può sostenere tale adeguamento, ma il suo comportamento dipende dal servizio e dalle politiche configurate [1].</w:t>
      </w:r>
    </w:p>
    <w:p>
      <w:pPr>
        <w:widowControl/>
        <w:spacing w:line="360" w:lineRule="auto" w:after="0" w:before="0"/>
        <w:ind w:firstLine="340"/>
        <w:jc w:val="both"/>
      </w:pPr>
      <w:r>
        <w:rPr>
          <w:rFonts w:ascii="Times New Roman" w:hAnsi="Times New Roman"/>
          <w:sz w:val="24"/>
        </w:rPr>
        <w:t>La quinta caratteristica è la misurazione del servizio. L’impiego delle risorse viene monitorato e rendicontato secondo unità pertinenti, come capacità di archiviazione, elaborazione o utenti attivi. Questo controllo rende visibile il consumo e può sostenere la fatturazione a utilizzo; non significa che qualsiasi offerta commerciale abbia necessariamente lo stesso schema tariffario [1, 3]. Per chi progetta l’applicazione, la misurazione collega le decisioni tecniche alla gestione della capacità e alla verifica della spesa.</w:t>
      </w:r>
    </w:p>
    <w:p>
      <w:pPr>
        <w:widowControl/>
        <w:spacing w:line="360" w:lineRule="auto" w:after="0" w:before="0"/>
        <w:ind w:firstLine="340"/>
        <w:jc w:val="both"/>
      </w:pPr>
      <w:r>
        <w:rPr>
          <w:rFonts w:ascii="Times New Roman" w:hAnsi="Times New Roman"/>
          <w:sz w:val="24"/>
        </w:rPr>
        <w:t>Armbrust e collaboratori evidenziano l’opportunità di ottenere risorse senza sostenere anticipatamente l’intero investimento in infrastruttura, adeguando la capacità alle necessità [2]. Per una piattaforma come FitNexus, tale prospettiva suggerisce di valutare separatamente le esigenze dell’interfaccia, dell’elaborazione e della conservazione dei dati. Un incremento delle consultazioni delle schede, ad esempio, potrebbe produrre un carico diverso rispetto all’invio dei questionari. Si tratta di ipotesi progettuali da verificare, non di una descrizione di volumi già misurati.</w:t>
      </w:r>
    </w:p>
    <w:p>
      <w:pPr>
        <w:pStyle w:val="Heading2"/>
        <w:ind w:firstLine="0"/>
      </w:pPr>
      <w:r>
        <w:t>1.2 Modelli di servizio e di distribuzione</w:t>
      </w:r>
    </w:p>
    <w:p>
      <w:pPr>
        <w:widowControl/>
        <w:spacing w:line="360" w:lineRule="auto" w:after="0" w:before="0"/>
        <w:ind w:firstLine="340"/>
        <w:jc w:val="both"/>
      </w:pPr>
      <w:r>
        <w:rPr>
          <w:rFonts w:ascii="Times New Roman" w:hAnsi="Times New Roman"/>
          <w:sz w:val="24"/>
        </w:rPr>
        <w:t>I modelli di servizio indicano a quale livello il fornitore rende disponibili le proprie capacità e quali responsabilità restano al consumatore. Il NIST distingue Infrastructure as a Service, Platform as a Service e Software as a Service [1]. Questa classificazione aiuta a capire quanto controllo operativo sia necessario: acquistare capacità infrastrutturale, distribuire codice su una piattaforma gestita e utilizzare un’applicazione pronta sono modalità differenti di fruizione del cloud.</w:t>
      </w:r>
    </w:p>
    <w:p>
      <w:pPr>
        <w:widowControl/>
        <w:spacing w:line="360" w:lineRule="auto" w:after="0" w:before="0"/>
        <w:ind w:firstLine="340"/>
        <w:jc w:val="both"/>
      </w:pPr>
      <w:r>
        <w:rPr>
          <w:rFonts w:ascii="Times New Roman" w:hAnsi="Times New Roman"/>
          <w:sz w:val="24"/>
        </w:rPr>
        <w:t>Nel modello IaaS vengono fornite risorse fondamentali, quali elaborazione, rete e archiviazione. Il cliente può installare sistemi operativi e applicazioni, assumendone la gestione nei limiti previsti dal servizio. Nel modello PaaS il fornitore mette a disposizione un ambiente per distribuire applicazioni realizzate con strumenti supportati; il cliente controlla il proprio software, senza amministrare direttamente l’infrastruttura sottostante. Nel modello SaaS si utilizza invece l’applicazione del fornitore, con possibilità di configurazione generalmente più circoscritte [1, 3].</w:t>
      </w:r>
    </w:p>
    <w:tbl>
      <w:tblPr>
        <w:tblW w:type="auto" w:w="0"/>
        <w:tblLayout w:type="fixed"/>
        <w:tblLook w:firstColumn="1" w:firstRow="1" w:lastColumn="0" w:lastRow="0" w:noHBand="0" w:noVBand="1" w:val="04A0"/>
      </w:tblPr>
      <w:tblGrid>
        <w:gridCol w:w="1134"/>
        <w:gridCol w:w="2835"/>
        <w:gridCol w:w="4535"/>
      </w:tblGrid>
      <w:tr>
        <w:trPr>
          <w:cantSplit/>
        </w:trPr>
        <w:tc>
          <w:tcPr>
            <w:tcW w:type="dxa" w:w="1134"/>
            <w:tcBorders>
              <w:top w:val="single" w:sz="4" w:color="D9D9D9"/>
              <w:left w:val="single" w:sz="4" w:color="D9D9D9"/>
              <w:bottom w:val="single" w:sz="4" w:color="D9D9D9"/>
              <w:right w:val="single" w:sz="4" w:color="D9D9D9"/>
            </w:tcBorders>
            <w:shd w:fill="E7E6E6"/>
          </w:tcPr>
          <w:p>
            <w:pPr>
              <w:widowControl/>
              <w:spacing w:line="360" w:lineRule="auto" w:after="0" w:before="0"/>
              <w:ind w:firstLine="0"/>
              <w:jc w:val="left"/>
            </w:pPr>
            <w:r>
              <w:rPr>
                <w:rFonts w:ascii="Times New Roman" w:hAnsi="Times New Roman"/>
                <w:b/>
                <w:sz w:val="24"/>
              </w:rPr>
              <w:t>Modello</w:t>
            </w:r>
          </w:p>
        </w:tc>
        <w:tc>
          <w:tcPr>
            <w:tcW w:type="dxa" w:w="2835"/>
            <w:tcBorders>
              <w:top w:val="single" w:sz="4" w:color="D9D9D9"/>
              <w:left w:val="single" w:sz="4" w:color="D9D9D9"/>
              <w:bottom w:val="single" w:sz="4" w:color="D9D9D9"/>
              <w:right w:val="single" w:sz="4" w:color="D9D9D9"/>
            </w:tcBorders>
            <w:shd w:fill="E7E6E6"/>
          </w:tcPr>
          <w:p>
            <w:pPr>
              <w:widowControl/>
              <w:spacing w:line="360" w:lineRule="auto" w:after="0" w:before="0"/>
              <w:ind w:firstLine="0"/>
              <w:jc w:val="left"/>
            </w:pPr>
            <w:r>
              <w:rPr>
                <w:rFonts w:ascii="Times New Roman" w:hAnsi="Times New Roman"/>
                <w:b/>
                <w:sz w:val="24"/>
              </w:rPr>
              <w:t>Capacità offerta</w:t>
            </w:r>
          </w:p>
        </w:tc>
        <w:tc>
          <w:tcPr>
            <w:tcW w:type="dxa" w:w="4535"/>
            <w:tcBorders>
              <w:top w:val="single" w:sz="4" w:color="D9D9D9"/>
              <w:left w:val="single" w:sz="4" w:color="D9D9D9"/>
              <w:bottom w:val="single" w:sz="4" w:color="D9D9D9"/>
              <w:right w:val="single" w:sz="4" w:color="D9D9D9"/>
            </w:tcBorders>
            <w:shd w:fill="E7E6E6"/>
          </w:tcPr>
          <w:p>
            <w:pPr>
              <w:widowControl/>
              <w:spacing w:line="360" w:lineRule="auto" w:after="0" w:before="0"/>
              <w:ind w:firstLine="0"/>
              <w:jc w:val="left"/>
            </w:pPr>
            <w:r>
              <w:rPr>
                <w:rFonts w:ascii="Times New Roman" w:hAnsi="Times New Roman"/>
                <w:b/>
                <w:sz w:val="24"/>
              </w:rPr>
              <w:t>Ambito tipico del consumatore</w:t>
            </w:r>
          </w:p>
        </w:tc>
      </w:tr>
      <w:tr>
        <w:trPr>
          <w:cantSplit/>
        </w:trPr>
        <w:tc>
          <w:tcPr>
            <w:tcW w:type="dxa" w:w="1134"/>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IaaS</w:t>
            </w:r>
          </w:p>
        </w:tc>
        <w:tc>
          <w:tcPr>
            <w:tcW w:type="dxa" w:w="2835"/>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Elaborazione, rete e archiviazione</w:t>
            </w:r>
          </w:p>
        </w:tc>
        <w:tc>
          <w:tcPr>
            <w:tcW w:type="dxa" w:w="4535"/>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Sistema operativo, applicazioni e configurazioni</w:t>
            </w:r>
          </w:p>
        </w:tc>
      </w:tr>
      <w:tr>
        <w:trPr>
          <w:cantSplit/>
        </w:trPr>
        <w:tc>
          <w:tcPr>
            <w:tcW w:type="dxa" w:w="1134"/>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PaaS</w:t>
            </w:r>
          </w:p>
        </w:tc>
        <w:tc>
          <w:tcPr>
            <w:tcW w:type="dxa" w:w="2835"/>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Ambiente gestito di esecuzione</w:t>
            </w:r>
          </w:p>
        </w:tc>
        <w:tc>
          <w:tcPr>
            <w:tcW w:type="dxa" w:w="4535"/>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Codice, dati e configurazione applicativa</w:t>
            </w:r>
          </w:p>
        </w:tc>
      </w:tr>
      <w:tr>
        <w:trPr>
          <w:cantSplit/>
        </w:trPr>
        <w:tc>
          <w:tcPr>
            <w:tcW w:type="dxa" w:w="1134"/>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SaaS</w:t>
            </w:r>
          </w:p>
        </w:tc>
        <w:tc>
          <w:tcPr>
            <w:tcW w:type="dxa" w:w="2835"/>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Applicazione utilizzabile come servizio</w:t>
            </w:r>
          </w:p>
        </w:tc>
        <w:tc>
          <w:tcPr>
            <w:tcW w:type="dxa" w:w="4535"/>
            <w:tcBorders>
              <w:top w:val="single" w:sz="4" w:color="D9D9D9"/>
              <w:left w:val="single" w:sz="4" w:color="D9D9D9"/>
              <w:bottom w:val="single" w:sz="4" w:color="D9D9D9"/>
              <w:right w:val="single" w:sz="4" w:color="D9D9D9"/>
            </w:tcBorders>
          </w:tcPr>
          <w:p>
            <w:pPr>
              <w:widowControl/>
              <w:spacing w:line="360" w:lineRule="auto" w:after="0" w:before="0"/>
              <w:ind w:firstLine="0"/>
              <w:jc w:val="left"/>
            </w:pPr>
            <w:r>
              <w:rPr>
                <w:rFonts w:ascii="Times New Roman" w:hAnsi="Times New Roman"/>
                <w:b w:val="0"/>
                <w:sz w:val="24"/>
              </w:rPr>
              <w:t>Utilizzo, accessi e opzioni disponibili</w:t>
            </w:r>
          </w:p>
        </w:tc>
      </w:tr>
    </w:tbl>
    <w:p>
      <w:pPr>
        <w:widowControl/>
        <w:spacing w:line="360" w:lineRule="auto" w:after="0" w:before="0"/>
        <w:ind w:firstLine="340"/>
        <w:jc w:val="both"/>
      </w:pPr>
      <w:r>
        <w:rPr>
          <w:rFonts w:ascii="Times New Roman" w:hAnsi="Times New Roman"/>
          <w:sz w:val="24"/>
        </w:rPr>
        <w:t>Tabella 1.1 – Sintesi dei modelli di servizio, elaborata sulla base di [1, 3]. La ripartizione concreta delle responsabilità dipende dalle condizioni del servizio.</w:t>
      </w:r>
    </w:p>
    <w:p>
      <w:pPr>
        <w:widowControl/>
        <w:spacing w:line="360" w:lineRule="auto" w:after="0" w:before="0"/>
        <w:ind w:firstLine="340"/>
        <w:jc w:val="both"/>
      </w:pPr>
      <w:r>
        <w:rPr>
          <w:rFonts w:ascii="Times New Roman" w:hAnsi="Times New Roman"/>
          <w:sz w:val="24"/>
        </w:rPr>
        <w:t>La scelta modifica il lavoro operativo, senza eliminare la responsabilità di chi realizza il prodotto. Una piattaforma gestita può ridurre l’amministrazione dei sistemi, mentre la correttezza delle regole applicative rimane un problema del progetto. Nel caso di FitNexus, decidere quali utenti possano pubblicare una scheda è distinto dal decidere chi aggiorni il sistema operativo. Anche il ruolo cambia secondo la relazione osservata: il gestore dell’applicazione può essere consumatore di infrastruttura e, contemporaneamente, erogatore di funzionalità ai clienti.</w:t>
      </w:r>
    </w:p>
    <w:p>
      <w:pPr>
        <w:widowControl/>
        <w:spacing w:line="360" w:lineRule="auto" w:after="0" w:before="0"/>
        <w:ind w:firstLine="340"/>
        <w:jc w:val="both"/>
      </w:pPr>
      <w:r>
        <w:rPr>
          <w:rFonts w:ascii="Times New Roman" w:hAnsi="Times New Roman"/>
          <w:sz w:val="24"/>
        </w:rPr>
        <w:t>I modelli di distribuzione descrivono invece destinatari e organizzazione dell’infrastruttura. Un cloud pubblico è predisposto per l’utilizzo da parte del pubblico generale; ciò non rende pubblici i dati dei singoli clienti. Un cloud privato è destinato all’uso esclusivo di una sola organizzazione e può essere gestito anche da terzi, all’interno o all’esterno delle sue sedi. Un cloud comunitario serve organizzazioni che condividono esigenze, ad esempio di missione o sicurezza [1]. La localizzazione fisica, da sola, non distingue quindi tutti questi modelli.</w:t>
      </w:r>
    </w:p>
    <w:p>
      <w:pPr>
        <w:widowControl/>
        <w:spacing w:line="360" w:lineRule="auto" w:after="0" w:before="0"/>
        <w:ind w:firstLine="340"/>
        <w:jc w:val="both"/>
      </w:pPr>
      <w:r>
        <w:rPr>
          <w:rFonts w:ascii="Times New Roman" w:hAnsi="Times New Roman"/>
          <w:sz w:val="24"/>
        </w:rPr>
        <w:t>Un cloud ibrido combina infrastrutture cloud distinte, collegate da tecnologie che consentono la portabilità di dati e applicazioni [1]. La presenza di un database locale e di un servizio esterno di pagamento non basta a dimostrare questa configurazione. Per FitNexus occorre distinguere l’ambiente che ospita i componenti applicativi dai servizi consumati attraverso API. La classificazione della distribuzione dovrà seguire l’infrastruttura effettivamente adottata, evitando di ricavare il modello dalla sola presenza di collegamenti verso fornitori diversi.</w:t>
      </w:r>
    </w:p>
    <w:p>
      <w:pPr>
        <w:pStyle w:val="Heading2"/>
        <w:ind w:firstLine="0"/>
      </w:pPr>
      <w:r>
        <w:t>1.3 Containerizzazione e principi cloud native</w:t>
      </w:r>
    </w:p>
    <w:p>
      <w:pPr>
        <w:widowControl/>
        <w:spacing w:line="360" w:lineRule="auto" w:after="0" w:before="0"/>
        <w:ind w:firstLine="340"/>
        <w:jc w:val="both"/>
      </w:pPr>
      <w:r>
        <w:rPr>
          <w:rFonts w:ascii="Times New Roman" w:hAnsi="Times New Roman"/>
          <w:sz w:val="24"/>
        </w:rPr>
        <w:t>La containerizzazione offre un modo per confezionare ed eseguire un’applicazione insieme alle dipendenze necessarie. Il NIST descrive i container come una combinazione di virtualizzazione del sistema operativo e packaging del software [4, sezione 2]. Nei sistemi basati su container, i processi utilizzano il kernel dell’ambiente ospitante, mentre una macchina virtuale dispone normalmente di un proprio sistema operativo ospite. Le due tecnologie possono coesistere: una macchina virtuale fornita in cloud può ospitare più container.</w:t>
      </w:r>
    </w:p>
    <w:p>
      <w:pPr>
        <w:widowControl/>
        <w:spacing w:line="360" w:lineRule="auto" w:after="0" w:before="0"/>
        <w:ind w:firstLine="340"/>
        <w:jc w:val="both"/>
      </w:pPr>
      <w:r>
        <w:rPr>
          <w:rFonts w:ascii="Times New Roman" w:hAnsi="Times New Roman"/>
          <w:sz w:val="24"/>
        </w:rPr>
        <w:t>Occorre distinguere l’immagine, che descrive il contenuto necessario all’esecuzione, dal container, che ne rappresenta un’istanza in esecuzione. Conservare immagini versionate favorisce la ripetibilità della distribuzione, ma non rende identici tutti gli ambienti. Rete, configurazioni, dati persistenti e caratteristiche della piattaforma continuano a influenzare il comportamento. La guida NIST richiama inoltre rischi legati a immagini vulnerabili, registri, runtime e sistema ospitante [4]. La portabilità richiede dunque di controllare sia il pacchetto software sia le condizioni nelle quali viene utilizzato.</w:t>
      </w:r>
    </w:p>
    <w:p>
      <w:pPr>
        <w:widowControl/>
        <w:spacing w:line="360" w:lineRule="auto" w:after="0" w:before="0"/>
        <w:ind w:firstLine="340"/>
        <w:jc w:val="both"/>
      </w:pPr>
      <w:r>
        <w:rPr>
          <w:rFonts w:ascii="Times New Roman" w:hAnsi="Times New Roman"/>
          <w:sz w:val="24"/>
        </w:rPr>
        <w:t>Docker Compose permette di descrivere servizi, reti e volumi di un’applicazione composta da più container in una configurazione dichiarativa [9]. In FitNexus questo approccio è pertinente al coordinamento di backend, database e componenti di elaborazione in background. Definire tali elementi in un file rende esplicite le dipendenze operative, ma non dimostra che il sistema resista al guasto dell’host o distribuisca automaticamente il carico. Il numero di container non identifica inoltre il numero di servizi di dominio: la suddivisione dei processi non è sufficiente a qualificare l’architettura come microservizi.</w:t>
      </w:r>
    </w:p>
    <w:p>
      <w:pPr>
        <w:widowControl/>
        <w:spacing w:line="360" w:lineRule="auto" w:after="0" w:before="0"/>
        <w:ind w:firstLine="340"/>
        <w:jc w:val="both"/>
      </w:pPr>
      <w:r>
        <w:rPr>
          <w:rFonts w:ascii="Times New Roman" w:hAnsi="Times New Roman"/>
          <w:sz w:val="24"/>
        </w:rPr>
        <w:t>La definizione CNCF associa il cloud native a pratiche che consentono di sviluppare e distribuire carichi in modo programmabile e ripetibile, con sistemi capaci di interoperare e di essere gestiti e osservati [7]. Container, microservizi e altre tecnologie sono possibili componenti di tale approccio, non un elenco di requisiti da adottare integralmente. Per il caso di studio, la definizione fornisce un criterio di lettura: conta il comportamento dell’insieme e la possibilità di governarne l’evoluzione, oltre agli strumenti impiegati.</w:t>
      </w:r>
    </w:p>
    <w:p>
      <w:pPr>
        <w:widowControl/>
        <w:spacing w:line="360" w:lineRule="auto" w:after="0" w:before="0"/>
        <w:ind w:firstLine="340"/>
        <w:jc w:val="both"/>
      </w:pPr>
      <w:r>
        <w:rPr>
          <w:rFonts w:ascii="Times New Roman" w:hAnsi="Times New Roman"/>
          <w:sz w:val="24"/>
        </w:rPr>
        <w:t>La metodologia Twelve-Factor App propone principi applicabili a servizi web, tra cui dichiarare le dipendenze, separare la configurazione dal codice e trattare database e code come risorse collegate [8, fattori II–IV]. Per FitNexus, questi principi suggeriscono di rendere esplicite le impostazioni dei diversi ambienti, evitando che indirizzi o parametri operativi siano dispersi nell’implementazione. La possibilità di cambiare un servizio di supporto dipende comunque dalla compatibilità delle interfacce e dei dati; separare la configurazione non elimina automaticamente il costo di una migrazione.</w:t>
      </w:r>
    </w:p>
    <w:p>
      <w:pPr>
        <w:widowControl/>
        <w:spacing w:line="360" w:lineRule="auto" w:after="0" w:before="0"/>
        <w:ind w:firstLine="340"/>
        <w:jc w:val="both"/>
      </w:pPr>
      <w:r>
        <w:rPr>
          <w:rFonts w:ascii="Times New Roman" w:hAnsi="Times New Roman"/>
          <w:sz w:val="24"/>
        </w:rPr>
        <w:t>Altri principi riguardano processi privi di stato persistente locale, concorrenza e gestione dei log [8, fattori VI, VIII e XI]. Applicati al progetto, suggeriscono di separare le informazioni durevoli dall’istanza che elabora una richiesta e di rendere osservabile il lavoro dei processi. Ad esempio, riavviare un componente non dovrebbe cancellare le schede salvate. Questi criteri saranno utili per discutere volumi e persistenza nel capitolo progettuale, senza assumere che siano già soddisfatti in ogni configurazione.</w:t>
      </w:r>
    </w:p>
    <w:p>
      <w:pPr>
        <w:pStyle w:val="Heading2"/>
        <w:ind w:firstLine="0"/>
      </w:pPr>
      <w:r>
        <w:t>1.4 Benefici, criticità e collegamento al caso di studio</w:t>
      </w:r>
    </w:p>
    <w:p>
      <w:pPr>
        <w:widowControl/>
        <w:spacing w:line="360" w:lineRule="auto" w:after="0" w:before="0"/>
        <w:ind w:firstLine="340"/>
        <w:jc w:val="both"/>
      </w:pPr>
      <w:r>
        <w:rPr>
          <w:rFonts w:ascii="Times New Roman" w:hAnsi="Times New Roman"/>
          <w:sz w:val="24"/>
        </w:rPr>
        <w:t>La disponibilità di risorse cloud amplia le possibilità progettuali, ma i benefici dipendono dalle caratteristiche dell’applicazione. La scalabilità indica la capacità di sostenere una crescita del carico mediante risorse aggiuntive; l’elasticità riguarda l’adeguamento delle risorse alla domanda, anche in diminuzione. Si può aumentare la capacità di una singola istanza oppure distribuire il lavoro tra più istanze. Le conseguenze differiscono in base ai vincoli dei componenti e alla gestione dello stato. La letteratura NIST discute queste opportunità insieme ai limiti tecnici e operativi del cloud [3].</w:t>
      </w:r>
    </w:p>
    <w:p>
      <w:pPr>
        <w:widowControl/>
        <w:spacing w:line="360" w:lineRule="auto" w:after="0" w:before="0"/>
        <w:ind w:firstLine="340"/>
        <w:jc w:val="both"/>
      </w:pPr>
      <w:r>
        <w:rPr>
          <w:rFonts w:ascii="Times New Roman" w:hAnsi="Times New Roman"/>
          <w:sz w:val="24"/>
        </w:rPr>
        <w:t>Nel caso di FitNexus, replicare il backend sarebbe una possibile scelta da valutare, ma non risolverebbe necessariamente un rallentamento del database o un limite imposto da un fornitore esterno. Prima di intervenire occorre individuare il punto che condiziona il servizio e misurare l’effetto delle modifiche. Per questa ragione, il numero di utenti registrati non può sostituire una descrizione del carico: consultazioni simultanee, dimensione dei questionari e operazioni di pubblicazione possono esercitare pressioni differenti sull’architettura.</w:t>
      </w:r>
    </w:p>
    <w:p>
      <w:pPr>
        <w:widowControl/>
        <w:spacing w:line="360" w:lineRule="auto" w:after="0" w:before="0"/>
        <w:ind w:firstLine="340"/>
        <w:jc w:val="both"/>
      </w:pPr>
      <w:r>
        <w:rPr>
          <w:rFonts w:ascii="Times New Roman" w:hAnsi="Times New Roman"/>
          <w:sz w:val="24"/>
        </w:rPr>
        <w:t>L’affidabilità richiede obiettivi osservabili. La Site Reliability Engineering distingue indicatori del servizio, obiettivi desiderati e accordi che prevedono conseguenze rispetto al loro rispetto [5, capitolo 4]. Tra gli indicatori possibili figurano latenza, disponibilità e tasso di errore. Per FitNexus sarebbe utile osservare, ad esempio, quante richieste di consultazione vadano a buon fine e in quanto tempo. Il raggiungimento di tali obiettivi deve essere documentato attraverso misure; la presenza di un’infrastruttura cloud non costituisce una prova del risultato.</w:t>
      </w:r>
    </w:p>
    <w:p>
      <w:pPr>
        <w:widowControl/>
        <w:spacing w:line="360" w:lineRule="auto" w:after="0" w:before="0"/>
        <w:ind w:firstLine="340"/>
        <w:jc w:val="both"/>
      </w:pPr>
      <w:r>
        <w:rPr>
          <w:rFonts w:ascii="Times New Roman" w:hAnsi="Times New Roman"/>
          <w:sz w:val="24"/>
        </w:rPr>
        <w:t>La sicurezza coinvolge sia l’ambiente sia le regole applicative. Delegare una parte dell’infrastruttura non elimina la necessità di proteggere credenziali, limitare i privilegi e controllare l’accesso ai dati [3, 4]. Nel progetto, questionari e schede sono associati a persone: un controllo deve quindi verificare non soltanto l’autenticazione, ma anche il diritto a operare sulla specifica informazione. Le decisioni sui ruoli e sulla separazione tra clienti e professionisti appartengono all’applicazione, anche quando questa viene distribuita su servizi gestiti.</w:t>
      </w:r>
    </w:p>
    <w:p>
      <w:pPr>
        <w:widowControl/>
        <w:spacing w:line="360" w:lineRule="auto" w:after="0" w:before="0"/>
        <w:ind w:firstLine="340"/>
        <w:jc w:val="both"/>
      </w:pPr>
      <w:r>
        <w:rPr>
          <w:rFonts w:ascii="Times New Roman" w:hAnsi="Times New Roman"/>
          <w:sz w:val="24"/>
        </w:rPr>
        <w:t>Le integrazioni introducono inoltre confini tra sistemi che non condividono necessariamente lo stesso stato. La letteratura sui sistemi basati sui dati evidenzia la necessità di considerare affidabilità e consistenza nella progettazione [6]. Applicando questa prospettiva a FitNexus, un pagamento, un aggiornamento del database e una notifica email devono essere considerati operazioni distinte. L’errore di una comunicazione non dimostra il fallimento del pagamento; analogamente, ripetere un’operazione dopo un errore non dovrebbe produrre effetti duplicati. Questi aspetti orientano la selezione dei casi di verifica.</w:t>
      </w:r>
    </w:p>
    <w:p>
      <w:pPr>
        <w:widowControl/>
        <w:spacing w:line="360" w:lineRule="auto" w:after="0" w:before="0"/>
        <w:ind w:firstLine="340"/>
        <w:jc w:val="both"/>
      </w:pPr>
      <w:r>
        <w:rPr>
          <w:rFonts w:ascii="Times New Roman" w:hAnsi="Times New Roman"/>
          <w:sz w:val="24"/>
        </w:rPr>
        <w:t>Infine, flessibilità e delega operativa devono essere confrontate con costi e dipendenza dai fornitori [2, 3]. Nel caso di studio, la valutazione dovrà considerare quali funzioni restino disponibili se un servizio esterno non risponde e quali informazioni servano per ricostruire l’accaduto. Il quadro esposto conduce così all’analisi dell’architettura: distribuzione, persistenza, autorizzazioni e integrazioni saranno esaminate come scelte con effetti verificabili. Il cloud rappresenta il contesto nel quale motivarle, mentre le prove di esecuzione permetteranno di distinguere i benefici attesi dai risultati osservati.</w:t>
      </w:r>
    </w:p>
    <w:p>
      <w:pPr>
        <w:pStyle w:val="Heading1"/>
        <w:keepNext/>
        <w:pageBreakBefore/>
        <w:widowControl/>
        <w:spacing w:line="360" w:lineRule="auto" w:before="0" w:after="160"/>
        <w:ind w:firstLine="0"/>
        <w:jc w:val="both"/>
      </w:pPr>
      <w:r>
        <w:rPr>
          <w:rFonts w:ascii="Times New Roman" w:hAnsi="Times New Roman"/>
          <w:b/>
          <w:color w:val="000000"/>
          <w:sz w:val="28"/>
        </w:rPr>
        <w:t>Capitolo 2 – Progettazione e sviluppo</w:t>
      </w:r>
    </w:p>
    <w:p>
      <w:pPr>
        <w:pStyle w:val="Heading2"/>
        <w:keepNext/>
        <w:widowControl/>
        <w:spacing w:line="360" w:lineRule="auto" w:before="0" w:after="160"/>
        <w:ind w:firstLine="0"/>
        <w:jc w:val="both"/>
      </w:pPr>
      <w:r>
        <w:rPr>
          <w:rFonts w:ascii="Times New Roman" w:hAnsi="Times New Roman"/>
          <w:b/>
          <w:color w:val="000000"/>
          <w:sz w:val="24"/>
        </w:rPr>
        <w:t>2.1 Requisiti e attori del sistema</w:t>
      </w:r>
    </w:p>
    <w:p>
      <w:pPr>
        <w:widowControl/>
        <w:spacing w:line="360" w:lineRule="auto" w:before="0" w:after="0"/>
        <w:ind w:firstLine="340"/>
        <w:jc w:val="both"/>
      </w:pPr>
      <w:r>
        <w:rPr>
          <w:rFonts w:ascii="Times New Roman" w:hAnsi="Times New Roman"/>
          <w:color w:val="000000"/>
          <w:sz w:val="24"/>
        </w:rPr>
        <w:t>FitNexus integra le attività necessarie a richiedere, preparare e distribuire programmi di allenamento online. Il requisito centrale consiste nel collegare le esigenze raccolte dal cliente al lavoro del trainer e alla successiva consultazione della scheda. Il progetto comprende anche un’offerta di coaching e un catalogo tutorial, ma il percorso delle schede personalizzate costituisce il riferimento principale per descrivere l’architettura. Le caratteristiche qui riportate derivano dall’analisi statica del repository e dei documenti ANALISI_FUNZIONALE.md e CATALOGO_INTERFACCE.md.</w:t>
      </w:r>
    </w:p>
    <w:p>
      <w:pPr>
        <w:widowControl/>
        <w:spacing w:line="360" w:lineRule="auto" w:before="0" w:after="0"/>
        <w:ind w:firstLine="340"/>
        <w:jc w:val="both"/>
      </w:pPr>
      <w:r>
        <w:rPr>
          <w:rFonts w:ascii="Times New Roman" w:hAnsi="Times New Roman"/>
          <w:color w:val="000000"/>
          <w:sz w:val="24"/>
        </w:rPr>
        <w:t>Il cliente deve poter creare un account, verificarlo, compilare il questionario, acquistare un servizio e consultare i programmi pubblicati. Il trainer deve disporre di strumenti per organizzare gli esercizi, comporre la scheda e renderla disponibile al destinatario. L’amministratore interviene sull’offerta commerciale e sulle promozioni. Questa ripartizione esprime le responsabilità funzionali; il controllo effettivo delle autorizzazioni deve essere valutato separatamente, poiché la visibilità di un pannello non equivale alla protezione delle API.</w:t>
      </w:r>
    </w:p>
    <w:tbl>
      <w:tblPr>
        <w:tblW w:type="auto" w:w="0"/>
        <w:tblLayout w:type="fixed"/>
        <w:tblLook w:firstColumn="1" w:firstRow="1" w:lastColumn="0" w:lastRow="0" w:noHBand="0" w:noVBand="1" w:val="04A0"/>
      </w:tblPr>
      <w:tblGrid>
        <w:gridCol w:w="4252"/>
        <w:gridCol w:w="4252"/>
      </w:tblGrid>
      <w:tr>
        <w:trPr>
          <w:cantSplit/>
        </w:trPr>
        <w:tc>
          <w:tcPr>
            <w:tcW w:type="dxa" w:w="1814"/>
            <w:tcBorders>
              <w:top w:val="single" w:sz="4" w:color="D9D9D9"/>
              <w:bottom w:val="single" w:sz="4" w:color="D9D9D9"/>
              <w:left w:val="single" w:sz="4" w:color="D9D9D9"/>
              <w:right w:val="single" w:sz="4" w:color="D9D9D9"/>
            </w:tcBorders>
            <w:shd w:fill="E7E6E6"/>
          </w:tcPr>
          <w:p>
            <w:pPr>
              <w:widowControl/>
              <w:spacing w:line="360" w:lineRule="auto" w:before="0" w:after="0"/>
              <w:ind w:firstLine="0"/>
              <w:jc w:val="left"/>
            </w:pPr>
            <w:r>
              <w:rPr>
                <w:rFonts w:ascii="Times New Roman" w:hAnsi="Times New Roman"/>
                <w:b/>
                <w:color w:val="000000"/>
                <w:sz w:val="24"/>
              </w:rPr>
              <w:t>Attore</w:t>
            </w:r>
          </w:p>
        </w:tc>
        <w:tc>
          <w:tcPr>
            <w:tcW w:type="dxa" w:w="6690"/>
            <w:tcBorders>
              <w:top w:val="single" w:sz="4" w:color="D9D9D9"/>
              <w:bottom w:val="single" w:sz="4" w:color="D9D9D9"/>
              <w:left w:val="single" w:sz="4" w:color="D9D9D9"/>
              <w:right w:val="single" w:sz="4" w:color="D9D9D9"/>
            </w:tcBorders>
            <w:shd w:fill="E7E6E6"/>
          </w:tcPr>
          <w:p>
            <w:pPr>
              <w:widowControl/>
              <w:spacing w:line="360" w:lineRule="auto" w:before="0" w:after="0"/>
              <w:ind w:firstLine="0"/>
              <w:jc w:val="left"/>
            </w:pPr>
            <w:r>
              <w:rPr>
                <w:rFonts w:ascii="Times New Roman" w:hAnsi="Times New Roman"/>
                <w:b/>
                <w:color w:val="000000"/>
                <w:sz w:val="24"/>
              </w:rPr>
              <w:t>Responsabilità funzionale</w:t>
            </w:r>
          </w:p>
        </w:tc>
      </w:tr>
      <w:tr>
        <w:trPr>
          <w:cantSplit/>
        </w:trPr>
        <w:tc>
          <w:tcPr>
            <w:tcW w:type="dxa" w:w="1814"/>
            <w:tcBorders>
              <w:top w:val="single" w:sz="4" w:color="D9D9D9"/>
              <w:bottom w:val="single" w:sz="4" w:color="D9D9D9"/>
              <w:left w:val="single" w:sz="4" w:color="D9D9D9"/>
              <w:right w:val="single" w:sz="4" w:color="D9D9D9"/>
            </w:tcBorders>
          </w:tcPr>
          <w:p>
            <w:pPr>
              <w:widowControl/>
              <w:spacing w:line="360" w:lineRule="auto" w:before="0" w:after="0"/>
              <w:ind w:firstLine="0"/>
              <w:jc w:val="left"/>
            </w:pPr>
            <w:r>
              <w:rPr>
                <w:rFonts w:ascii="Times New Roman" w:hAnsi="Times New Roman"/>
                <w:b w:val="0"/>
                <w:color w:val="000000"/>
                <w:sz w:val="24"/>
              </w:rPr>
              <w:t>Cliente</w:t>
            </w:r>
          </w:p>
        </w:tc>
        <w:tc>
          <w:tcPr>
            <w:tcW w:type="dxa" w:w="6690"/>
            <w:tcBorders>
              <w:top w:val="single" w:sz="4" w:color="D9D9D9"/>
              <w:bottom w:val="single" w:sz="4" w:color="D9D9D9"/>
              <w:left w:val="single" w:sz="4" w:color="D9D9D9"/>
              <w:right w:val="single" w:sz="4" w:color="D9D9D9"/>
            </w:tcBorders>
          </w:tcPr>
          <w:p>
            <w:pPr>
              <w:widowControl/>
              <w:spacing w:line="360" w:lineRule="auto" w:before="0" w:after="0"/>
              <w:ind w:firstLine="0"/>
              <w:jc w:val="left"/>
            </w:pPr>
            <w:r>
              <w:rPr>
                <w:rFonts w:ascii="Times New Roman" w:hAnsi="Times New Roman"/>
                <w:b w:val="0"/>
                <w:color w:val="000000"/>
                <w:sz w:val="24"/>
              </w:rPr>
              <w:t>Richiedere il servizio e consultare le schede</w:t>
            </w:r>
          </w:p>
        </w:tc>
      </w:tr>
      <w:tr>
        <w:trPr>
          <w:cantSplit/>
        </w:trPr>
        <w:tc>
          <w:tcPr>
            <w:tcW w:type="dxa" w:w="1814"/>
            <w:tcBorders>
              <w:top w:val="single" w:sz="4" w:color="D9D9D9"/>
              <w:bottom w:val="single" w:sz="4" w:color="D9D9D9"/>
              <w:left w:val="single" w:sz="4" w:color="D9D9D9"/>
              <w:right w:val="single" w:sz="4" w:color="D9D9D9"/>
            </w:tcBorders>
          </w:tcPr>
          <w:p>
            <w:pPr>
              <w:widowControl/>
              <w:spacing w:line="360" w:lineRule="auto" w:before="0" w:after="0"/>
              <w:ind w:firstLine="0"/>
              <w:jc w:val="left"/>
            </w:pPr>
            <w:r>
              <w:rPr>
                <w:rFonts w:ascii="Times New Roman" w:hAnsi="Times New Roman"/>
                <w:b w:val="0"/>
                <w:color w:val="000000"/>
                <w:sz w:val="24"/>
              </w:rPr>
              <w:t>Trainer</w:t>
            </w:r>
          </w:p>
        </w:tc>
        <w:tc>
          <w:tcPr>
            <w:tcW w:type="dxa" w:w="6690"/>
            <w:tcBorders>
              <w:top w:val="single" w:sz="4" w:color="D9D9D9"/>
              <w:bottom w:val="single" w:sz="4" w:color="D9D9D9"/>
              <w:left w:val="single" w:sz="4" w:color="D9D9D9"/>
              <w:right w:val="single" w:sz="4" w:color="D9D9D9"/>
            </w:tcBorders>
          </w:tcPr>
          <w:p>
            <w:pPr>
              <w:widowControl/>
              <w:spacing w:line="360" w:lineRule="auto" w:before="0" w:after="0"/>
              <w:ind w:firstLine="0"/>
              <w:jc w:val="left"/>
            </w:pPr>
            <w:r>
              <w:rPr>
                <w:rFonts w:ascii="Times New Roman" w:hAnsi="Times New Roman"/>
                <w:b w:val="0"/>
                <w:color w:val="000000"/>
                <w:sz w:val="24"/>
              </w:rPr>
              <w:t>Comporre e pubblicare i programmi</w:t>
            </w:r>
          </w:p>
        </w:tc>
      </w:tr>
      <w:tr>
        <w:trPr>
          <w:cantSplit/>
        </w:trPr>
        <w:tc>
          <w:tcPr>
            <w:tcW w:type="dxa" w:w="1814"/>
            <w:tcBorders>
              <w:top w:val="single" w:sz="4" w:color="D9D9D9"/>
              <w:bottom w:val="single" w:sz="4" w:color="D9D9D9"/>
              <w:left w:val="single" w:sz="4" w:color="D9D9D9"/>
              <w:right w:val="single" w:sz="4" w:color="D9D9D9"/>
            </w:tcBorders>
          </w:tcPr>
          <w:p>
            <w:pPr>
              <w:widowControl/>
              <w:spacing w:line="360" w:lineRule="auto" w:before="0" w:after="0"/>
              <w:ind w:firstLine="0"/>
              <w:jc w:val="left"/>
            </w:pPr>
            <w:r>
              <w:rPr>
                <w:rFonts w:ascii="Times New Roman" w:hAnsi="Times New Roman"/>
                <w:b w:val="0"/>
                <w:color w:val="000000"/>
                <w:sz w:val="24"/>
              </w:rPr>
              <w:t>Amministratore</w:t>
            </w:r>
          </w:p>
        </w:tc>
        <w:tc>
          <w:tcPr>
            <w:tcW w:type="dxa" w:w="6690"/>
            <w:tcBorders>
              <w:top w:val="single" w:sz="4" w:color="D9D9D9"/>
              <w:bottom w:val="single" w:sz="4" w:color="D9D9D9"/>
              <w:left w:val="single" w:sz="4" w:color="D9D9D9"/>
              <w:right w:val="single" w:sz="4" w:color="D9D9D9"/>
            </w:tcBorders>
          </w:tcPr>
          <w:p>
            <w:pPr>
              <w:widowControl/>
              <w:spacing w:line="360" w:lineRule="auto" w:before="0" w:after="0"/>
              <w:ind w:firstLine="0"/>
              <w:jc w:val="left"/>
            </w:pPr>
            <w:r>
              <w:rPr>
                <w:rFonts w:ascii="Times New Roman" w:hAnsi="Times New Roman"/>
                <w:b w:val="0"/>
                <w:color w:val="000000"/>
                <w:sz w:val="24"/>
              </w:rPr>
              <w:t>Gestire listino e promozioni</w:t>
            </w:r>
          </w:p>
        </w:tc>
      </w:tr>
    </w:tbl>
    <w:p>
      <w:pPr>
        <w:widowControl/>
        <w:spacing w:line="360" w:lineRule="auto" w:before="0" w:after="0"/>
        <w:ind w:firstLine="0"/>
        <w:jc w:val="both"/>
      </w:pPr>
      <w:r>
        <w:rPr>
          <w:rFonts w:ascii="Times New Roman" w:hAnsi="Times New Roman"/>
          <w:i/>
          <w:color w:val="000000"/>
          <w:sz w:val="20"/>
        </w:rPr>
        <w:t>Tabella 2.1 – Attori e responsabilità previste nel progetto.</w:t>
      </w:r>
    </w:p>
    <w:p>
      <w:pPr>
        <w:widowControl/>
        <w:spacing w:line="360" w:lineRule="auto" w:before="0" w:after="0"/>
        <w:ind w:firstLine="340"/>
        <w:jc w:val="both"/>
      </w:pPr>
      <w:r>
        <w:rPr>
          <w:rFonts w:ascii="Times New Roman" w:hAnsi="Times New Roman"/>
          <w:color w:val="000000"/>
          <w:sz w:val="24"/>
        </w:rPr>
        <w:t>Accanto ai requisiti funzionali, il progetto richiede conservazione dei dati, configurazione degli ambienti e gestione degli errori delle integrazioni. L’affidabilità deve essere riferita a comportamenti osservabili: una scheda salvata deve rimanere disponibile dopo il riavvio del componente applicativo, mentre una richiesta non autorizzata deve essere respinta. La formulazione di obiettivi verificabili segue l’impostazione della Site Reliability Engineering [5]. Questi criteri orientano il progetto e la successiva validazione, senza rappresentare test già superati.</w:t>
      </w:r>
    </w:p>
    <w:p>
      <w:pPr>
        <w:pStyle w:val="Heading2"/>
        <w:keepNext/>
        <w:pageBreakBefore/>
        <w:widowControl/>
        <w:spacing w:line="360" w:lineRule="auto" w:before="0" w:after="160"/>
        <w:ind w:firstLine="0"/>
        <w:jc w:val="both"/>
      </w:pPr>
      <w:r>
        <w:rPr>
          <w:rFonts w:ascii="Times New Roman" w:hAnsi="Times New Roman"/>
          <w:b/>
          <w:color w:val="000000"/>
          <w:sz w:val="24"/>
        </w:rPr>
        <w:t>2.2 Architettura complessiva</w:t>
      </w:r>
    </w:p>
    <w:p>
      <w:pPr>
        <w:widowControl/>
        <w:spacing w:line="360" w:lineRule="auto" w:before="0" w:after="0"/>
        <w:ind w:firstLine="340"/>
        <w:jc w:val="both"/>
      </w:pPr>
      <w:r>
        <w:rPr>
          <w:rFonts w:ascii="Times New Roman" w:hAnsi="Times New Roman"/>
          <w:sz w:val="24"/>
        </w:rPr>
        <w:t>L’applicazione separa presentazione, logica applicativa e persistenza. Il browser esegue il frontend React, mentre Django espone le API e accede a MySQL. La distribuzione è predisposta secondo un approccio IaaS: una singola macchina virtuale Linux ospita Nginx, backend, database, Redis, worker Celery e scheduler attraverso Docker Compose. Nginx serve gli asset statici del frontend React e, nella configurazione con proxy, inoltra le richieste API al backend Django. Worker e scheduler sono processi distinti che utilizzano la stessa immagine del backend. La separazione logica dei componenti si accompagna quindi alla loro concentrazione su un unico host.</w:t>
      </w:r>
    </w:p>
    <w:p>
      <w:pPr>
        <w:keepNext/>
        <w:widowControl/>
        <w:spacing w:line="360" w:lineRule="auto" w:before="0" w:after="0"/>
        <w:ind w:firstLine="0"/>
        <w:jc w:val="center"/>
      </w:pPr>
      <w:r>
        <w:drawing>
          <wp:inline xmlns:a="http://schemas.openxmlformats.org/drawingml/2006/main" xmlns:pic="http://schemas.openxmlformats.org/drawingml/2006/picture">
            <wp:extent cx="5400000" cy="1764000"/>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1764000"/>
                    </a:xfrm>
                    <a:prstGeom prst="rect"/>
                  </pic:spPr>
                </pic:pic>
              </a:graphicData>
            </a:graphic>
          </wp:inline>
        </w:drawing>
      </w:r>
    </w:p>
    <w:p>
      <w:pPr>
        <w:widowControl/>
        <w:spacing w:line="360" w:lineRule="auto" w:before="0" w:after="0"/>
        <w:ind w:firstLine="0"/>
        <w:jc w:val="both"/>
      </w:pPr>
      <w:r>
        <w:rPr>
          <w:rFonts w:ascii="Times New Roman" w:hAnsi="Times New Roman"/>
          <w:i/>
          <w:sz w:val="20"/>
        </w:rPr>
        <w:t>Figura 2.1 – Architettura logica di FitNexus: Nginx, backend, MySQL, Redis e processi Celery sulla stessa VM Linux; browser e fornitori esterni fuori dall’host. Elaborazione dal progetto.</w:t>
      </w:r>
    </w:p>
    <w:p>
      <w:pPr>
        <w:widowControl/>
        <w:spacing w:line="360" w:lineRule="auto" w:before="0" w:after="0"/>
        <w:ind w:firstLine="340"/>
        <w:jc w:val="both"/>
      </w:pPr>
      <w:r>
        <w:rPr>
          <w:rFonts w:ascii="Times New Roman" w:hAnsi="Times New Roman"/>
          <w:i w:val="0"/>
          <w:sz w:val="24"/>
        </w:rPr>
        <w:t>La figura rappresenta le dipendenze funzionali, mentre la collocazione sulla VM definisce il confine della distribuzione IaaS predisposta. Stripe e MailerSend sono servizi esterni richiamati dal backend; il browser interagisce con Vimeo per i video. Il webhook Stripe raggiunge un endpoint applicativo dedicato. Redis sostiene il percorso asincrono senza sostituire MySQL. Le frecce distinguono gli scambi tra componenti, ma non indicano macchine indipendenti: il nodo comune Linux costituisce una dipendenza condivisa per tutti i servizi ospitati.</w:t>
      </w:r>
    </w:p>
    <w:p>
      <w:pPr>
        <w:widowControl/>
        <w:spacing w:line="360" w:lineRule="auto" w:before="0" w:after="0"/>
        <w:ind w:firstLine="340"/>
        <w:jc w:val="both"/>
      </w:pPr>
      <w:r>
        <w:rPr>
          <w:rFonts w:ascii="Times New Roman" w:hAnsi="Times New Roman"/>
          <w:color w:val="000000"/>
          <w:sz w:val="24"/>
        </w:rPr>
        <w:t>Questa separazione consente di discutere il sistema secondo responsabilità riconoscibili. Un errore di visualizzazione, un problema di autorizzazione e un’indisponibilità del database appartengono a livelli differenti, pur potendo manifestarsi nello stesso percorso utente. La distinzione è utile anche per scegliere dove registrare gli eventi e quali componenti controllare durante una verifica. I principi cloud native offrono un riferimento per analizzare gestibilità e osservabilità dell’insieme [7].</w:t>
      </w:r>
    </w:p>
    <w:p>
      <w:pPr>
        <w:pageBreakBefore/>
        <w:widowControl/>
        <w:spacing w:line="360" w:lineRule="auto" w:before="0" w:after="0"/>
        <w:ind w:firstLine="340"/>
        <w:jc w:val="both"/>
      </w:pPr>
      <w:r>
        <w:rPr>
          <w:rFonts w:ascii="Times New Roman" w:hAnsi="Times New Roman"/>
          <w:color w:val="000000"/>
          <w:sz w:val="24"/>
        </w:rPr>
        <w:t>Il backend è organizzato in moduli Django dedicati ad autenticazione, coach, schede e pagamenti. La presenza di più moduli e container non dimostra una distribuzione a microservizi: i processi condividono codice applicativo, configurazione e modello dei dati. La soluzione può essere letta come un backend modulare affiancato da servizi infrastrutturali e integrazioni esterne. Tale descrizione evita di attribuire autonomia di rilascio a componenti che il repository non presenta come applicazioni indipendenti.</w:t>
      </w:r>
    </w:p>
    <w:p>
      <w:pPr>
        <w:widowControl/>
        <w:spacing w:line="360" w:lineRule="auto" w:before="0" w:after="0"/>
        <w:ind w:firstLine="340"/>
        <w:jc w:val="both"/>
      </w:pPr>
      <w:r>
        <w:rPr>
          <w:rFonts w:ascii="Times New Roman" w:hAnsi="Times New Roman"/>
          <w:color w:val="000000"/>
          <w:sz w:val="24"/>
        </w:rPr>
        <w:t>Una richiesta ordinaria parte da un’azione del cliente nel browser. Il frontend usa i servizi HTTP per interrogare un endpoint; il backend identifica l’utente, recupera le informazioni e restituisce una rappresentazione utilizzabile dall’interfaccia. Nel dettaglio della scheda personale, il recupero include il destinatario e lo stato di pubblicazione. Il browser organizza quindi settimane, giorni ed esercizi. La persistenza rimane responsabilità del backend e del database, mentre la selezione della settimana visualizzata appartiene all’interazione locale.</w:t>
      </w:r>
    </w:p>
    <w:p>
      <w:pPr>
        <w:widowControl/>
        <w:spacing w:line="360" w:lineRule="auto" w:before="0" w:after="0"/>
        <w:ind w:firstLine="340"/>
        <w:jc w:val="both"/>
      </w:pPr>
      <w:r>
        <w:rPr>
          <w:rFonts w:ascii="Times New Roman" w:hAnsi="Times New Roman"/>
          <w:color w:val="000000"/>
          <w:sz w:val="24"/>
        </w:rPr>
        <w:t>Le operazioni con fornitori esterni hanno un comportamento diverso. Nel pagamento, il backend crea una sessione di checkout e il browser prosegue sul servizio Stripe. L’esito applicativo viene poi elaborato attraverso un evento ricevuto dal server. L’architettura deve pertanto gestire richieste che non seguono una sola catena sincrona: la chiusura della finestra del cliente non coincide necessariamente con l’interruzione delle elaborazioni successive.</w:t>
      </w:r>
    </w:p>
    <w:p>
      <w:pPr>
        <w:widowControl/>
        <w:spacing w:line="360" w:lineRule="auto" w:before="0" w:after="0"/>
        <w:ind w:firstLine="340"/>
        <w:jc w:val="both"/>
      </w:pPr>
      <w:r>
        <w:rPr>
          <w:rFonts w:ascii="Times New Roman" w:hAnsi="Times New Roman"/>
          <w:color w:val="000000"/>
          <w:sz w:val="24"/>
        </w:rPr>
        <w:t>Anche l’indisponibilità dei componenti produce effetti differenti. Un errore del backend compromette lettura e salvataggio delle schede; un errore del servizio video può impedire la riproduzione senza cancellare i parametri dell’allenamento. Questa distinzione permette di identificare quali dipendenze siano indispensabili per una funzione e quali richiedano una gestione locale dell’errore. Il trattamento dei servizi di supporto come risorse collegate è coerente con il criterio proposto dalla metodologia Twelve-Factor App [8].</w:t>
      </w:r>
    </w:p>
    <w:p>
      <w:pPr>
        <w:pStyle w:val="Heading2"/>
        <w:keepNext/>
        <w:pageBreakBefore/>
        <w:widowControl/>
        <w:spacing w:line="360" w:lineRule="auto" w:before="0" w:after="160"/>
        <w:ind w:firstLine="0"/>
        <w:jc w:val="both"/>
      </w:pPr>
      <w:r>
        <w:rPr>
          <w:rFonts w:ascii="Times New Roman" w:hAnsi="Times New Roman"/>
          <w:b/>
          <w:color w:val="000000"/>
          <w:sz w:val="24"/>
        </w:rPr>
        <w:t>2.3 Modello dei dati e flussi applicativi</w:t>
      </w:r>
    </w:p>
    <w:p>
      <w:pPr>
        <w:widowControl/>
        <w:spacing w:line="360" w:lineRule="auto" w:before="0" w:after="0"/>
        <w:ind w:firstLine="340"/>
        <w:jc w:val="both"/>
      </w:pPr>
      <w:r>
        <w:rPr>
          <w:rFonts w:ascii="Times New Roman" w:hAnsi="Times New Roman"/>
          <w:color w:val="000000"/>
          <w:sz w:val="24"/>
        </w:rPr>
        <w:t>Il modello relazionale organizza le informazioni attorno all’utente e ai programmi assegnati. Survey rappresenta un questionario e Question conserva le coppie domanda-risposta; FormSP descrive la scheda personale, con destinatario, nome, timestamp e stato di pubblicazione. La struttura del programma si sviluppa attraverso Week, Day e Section. Exercise conserva l’anagrafica riutilizzabile dell’esercizio, mentre ExerciseInForm descrive la sua prescrizione in una sezione specifica.</w:t>
      </w:r>
    </w:p>
    <w:p>
      <w:pPr>
        <w:keepNext/>
        <w:widowControl/>
        <w:spacing w:line="360" w:lineRule="auto" w:before="0" w:after="0"/>
        <w:ind w:firstLine="0"/>
        <w:jc w:val="center"/>
      </w:pPr>
      <w:r>
        <w:drawing>
          <wp:inline xmlns:a="http://schemas.openxmlformats.org/drawingml/2006/main" xmlns:pic="http://schemas.openxmlformats.org/drawingml/2006/picture">
            <wp:extent cx="5400000" cy="1764000"/>
            <wp:docPr id="2" name="Picture 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1764000"/>
                    </a:xfrm>
                    <a:prstGeom prst="rect"/>
                  </pic:spPr>
                </pic:pic>
              </a:graphicData>
            </a:graphic>
          </wp:inline>
        </w:drawing>
      </w:r>
    </w:p>
    <w:p>
      <w:pPr>
        <w:widowControl/>
        <w:spacing w:line="360" w:lineRule="auto" w:before="0" w:after="0"/>
        <w:ind w:firstLine="0"/>
        <w:jc w:val="both"/>
      </w:pPr>
      <w:r>
        <w:rPr>
          <w:rFonts w:ascii="Times New Roman" w:hAnsi="Times New Roman"/>
          <w:i/>
          <w:color w:val="000000"/>
          <w:sz w:val="20"/>
        </w:rPr>
        <w:t>Figura 2.2 – Relazioni principali delle schede personali. Schema semplificato; i legami possono essere facoltativi nei modelli.</w:t>
      </w:r>
    </w:p>
    <w:p>
      <w:pPr>
        <w:widowControl/>
        <w:spacing w:line="360" w:lineRule="auto" w:before="0" w:after="0"/>
        <w:ind w:firstLine="340"/>
        <w:jc w:val="both"/>
      </w:pPr>
      <w:r>
        <w:rPr>
          <w:rFonts w:ascii="Times New Roman" w:hAnsi="Times New Roman"/>
          <w:color w:val="000000"/>
          <w:sz w:val="24"/>
        </w:rPr>
        <w:t>La distinzione tra catalogo e prescrizione permette di riutilizzare lo stesso esercizio con serie, ripetizioni, recupero e carico differenti. SuperSeries collega ulteriori esercizi alla prescrizione principale. Feedback può riferirsi all’utente o alla scheda, secondo la tipologia della richiesta. Il diagramma rappresenta il nucleo logico del programma: alcune chiavi esterne sono facoltative nel modello e non vanno interpretate come obblighi garantiti in ogni record. Il modulo tutorial riutilizza parte della struttura attraverso FormST.</w:t>
      </w:r>
    </w:p>
    <w:p>
      <w:pPr>
        <w:widowControl/>
        <w:spacing w:line="360" w:lineRule="auto" w:before="0" w:after="0"/>
        <w:ind w:firstLine="340"/>
        <w:jc w:val="both"/>
      </w:pPr>
      <w:r>
        <w:rPr>
          <w:rFonts w:ascii="Times New Roman" w:hAnsi="Times New Roman"/>
          <w:sz w:val="24"/>
        </w:rPr>
        <w:t>Nel modello logico, ogni settimana deve appartenere a una sola tipologia di scheda. L’esclusività dell’associazione è una regola di integrità del dominio: deve essere rispettata sia nella creazione sia nella modifica delle entità. Nell’implementazione esaminata, la regola è affidata alla validazione applicativa e non a un vincolo dichiarato nel database; la sua effettiva applicazione dipende quindi dai percorsi di scrittura. Distinguere la regola del modello dai meccanismi che la garantiscono permette di valutare la coerenza dei dati nel quadro discusso da Kleppmann [6].</w:t>
      </w:r>
    </w:p>
    <w:p>
      <w:pPr>
        <w:pageBreakBefore/>
        <w:widowControl/>
        <w:spacing w:line="360" w:lineRule="auto" w:before="0" w:after="0"/>
        <w:ind w:firstLine="340"/>
        <w:jc w:val="both"/>
      </w:pPr>
      <w:r>
        <w:rPr>
          <w:rFonts w:ascii="Times New Roman" w:hAnsi="Times New Roman"/>
          <w:color w:val="000000"/>
          <w:sz w:val="24"/>
        </w:rPr>
        <w:t>Il percorso della scheda personalizzata inizia con il salvataggio del questionario, prima del pagamento. Dopo l’acquisto, le comunicazioni informano il team e il cliente; il trainer prepara manualmente il programma, lo salva e lo pubblica. Le API personali restituiscono le schede pubblicate associate all’utente. Il questionario non genera automaticamente esercizi o parametri: costituisce materiale per la valutazione del professionista.</w:t>
      </w:r>
    </w:p>
    <w:p>
      <w:pPr>
        <w:widowControl/>
        <w:spacing w:line="360" w:lineRule="auto" w:before="0" w:after="0"/>
        <w:ind w:firstLine="340"/>
        <w:jc w:val="both"/>
      </w:pPr>
      <w:r>
        <w:rPr>
          <w:rFonts w:ascii="Times New Roman" w:hAnsi="Times New Roman"/>
          <w:color w:val="000000"/>
          <w:sz w:val="24"/>
        </w:rPr>
        <w:t>Nel modello esaminato manca un ordine locale che colleghi in modo univoco questionario, transazione e consegna. La gestione successiva al pagamento utilizza il questionario più recente. Questo consente di individuare un limite di tracciabilità: due invii dello stesso cliente non vengono necessariamente distinti in rapporto a due acquisti. Analogamente, la modifica di una scheda aggiorna i contenuti senza conservare uno storico completo delle revisioni. Si tratta di aspetti da considerare quando si interpretano i dati e si definiscono i casi di verifica.</w:t>
      </w:r>
    </w:p>
    <w:p>
      <w:pPr>
        <w:pStyle w:val="Heading2"/>
        <w:keepNext/>
        <w:widowControl/>
        <w:spacing w:line="360" w:lineRule="auto" w:before="0" w:after="160"/>
        <w:ind w:firstLine="0"/>
        <w:jc w:val="both"/>
      </w:pPr>
      <w:r>
        <w:rPr>
          <w:rFonts w:ascii="Times New Roman" w:hAnsi="Times New Roman"/>
          <w:b/>
          <w:color w:val="000000"/>
          <w:sz w:val="24"/>
        </w:rPr>
        <w:t>2.4 Tecnologie e implementazione</w:t>
      </w:r>
    </w:p>
    <w:p>
      <w:pPr>
        <w:widowControl/>
        <w:spacing w:line="360" w:lineRule="auto" w:before="0" w:after="0"/>
        <w:ind w:firstLine="340"/>
        <w:jc w:val="both"/>
      </w:pPr>
      <w:r>
        <w:rPr>
          <w:rFonts w:ascii="Times New Roman" w:hAnsi="Times New Roman"/>
          <w:sz w:val="24"/>
        </w:rPr>
        <w:t>Il file package.json dichiara React nella serie 18, TypeScript nella serie 4.7 e Axios per le richieste HTTP. Il frontend comprende pagine, componenti riutilizzabili e servizi di accesso alle API. La documentazione React descrive la composizione dell’interfaccia attraverso componenti e la distinzione tra dati ricevuti e stato dell’interazione [12]. Nel progetto questo criterio è riconoscibile nei moduli del questionario, nelle pagine del profilo e nei pannelli destinati ai professionisti. Il Dockerfile multistadio usa Node.js per eseguire npm run build e copia gli asset HTML, JavaScript e CSS nell’immagine finale Nginx: il rilascio del frontend non richiede un server Node.js in esecuzione.</w:t>
      </w:r>
    </w:p>
    <w:p>
      <w:pPr>
        <w:widowControl/>
        <w:spacing w:line="360" w:lineRule="auto" w:before="0" w:after="0"/>
        <w:ind w:firstLine="340"/>
        <w:jc w:val="both"/>
      </w:pPr>
      <w:r>
        <w:rPr>
          <w:rFonts w:ascii="Times New Roman" w:hAnsi="Times New Roman"/>
          <w:color w:val="000000"/>
          <w:sz w:val="24"/>
        </w:rPr>
        <w:t>Le versioni riportate sono quelle dichiarate dai manifest, non quelle misurate in un ambiente avviato. La presenza di una libreria tra le dipendenze non dimostra inoltre che ogni sua funzionalità sia utilizzata. Per descrivere il prodotto occorre seguire i componenti montati dal router e le chiamate effettivamente collegate ai percorsi correnti, distinguendoli dai componenti precedenti ancora conservati nel repository.</w:t>
      </w:r>
    </w:p>
    <w:p>
      <w:pPr>
        <w:pageBreakBefore/>
        <w:widowControl/>
        <w:spacing w:line="360" w:lineRule="auto" w:before="0" w:after="0"/>
        <w:ind w:firstLine="340"/>
        <w:jc w:val="both"/>
      </w:pPr>
      <w:r>
        <w:rPr>
          <w:rFonts w:ascii="Times New Roman" w:hAnsi="Times New Roman"/>
          <w:color w:val="000000"/>
          <w:sz w:val="24"/>
        </w:rPr>
        <w:t>Le pagine pubbliche presentano servizi e professionisti, mentre l’area personale espone contenuti e pannelli secondo le informazioni associate all’accesso. Il questionario raccoglie risposte articolate in passaggi e controlla alcune condizioni prima dell’invio. La fotografia facoltativa viene convertita in una stringa Base64 inclusa nel contenuto trasmesso. Questa rappresentazione semplifica l’invio insieme alle risposte, ma non costituisce un archivio fotografico indipendente e rende la dimensione del payload un elemento da valutare nelle prove.</w:t>
      </w:r>
    </w:p>
    <w:p>
      <w:pPr>
        <w:widowControl/>
        <w:spacing w:line="360" w:lineRule="auto" w:before="0" w:after="0"/>
        <w:ind w:firstLine="340"/>
        <w:jc w:val="both"/>
      </w:pPr>
      <w:r>
        <w:rPr>
          <w:rFonts w:ascii="Times New Roman" w:hAnsi="Times New Roman"/>
          <w:sz w:val="24"/>
        </w:rPr>
        <w:t>Il client HTTP centralizza l’indirizzo delle API e aggiunge il token alle richieste. Tale organizzazione riduce la duplicazione del codice di comunicazione; non risolve però automaticamente validazione ed errori. Nel backend, la gestione del questionario salva Survey e Question senza ripetere integralmente i controlli funzionali dell’interfaccia. Le correzioni descritte nel Capitolo 3 introducono il rifiuto dei payload vuoti o malformati, verificato mediante regressioni mirate [14]. La validazione server rimane un requisito distinto dalla guida alla compilazione offerta all’utente e non copre ancora tutte le obbligatorietà del frontend.</w:t>
      </w:r>
    </w:p>
    <w:p>
      <w:pPr>
        <w:widowControl/>
        <w:spacing w:line="360" w:lineRule="auto" w:before="0" w:after="0"/>
        <w:ind w:firstLine="340"/>
        <w:jc w:val="both"/>
      </w:pPr>
      <w:r>
        <w:rPr>
          <w:rFonts w:ascii="Times New Roman" w:hAnsi="Times New Roman"/>
          <w:color w:val="000000"/>
          <w:sz w:val="24"/>
        </w:rPr>
        <w:t>Il backend dichiara Django 3.2.9, Django REST Framework 3.13.1 e Simple JWT 5.2.2. Viste, serializer e modelli svolgono ruoli differenti: le viste gestiscono l’operazione, i serializer descrivono conversione e validazione dei dati quando richiamati, i modelli definiscono entità e relazioni. Le viste generiche e quelle implementate manualmente non vanno considerate equivalenti soltanto perché espongono metodi HTTP simili. Per ricostruire il comportamento è necessario seguire l’effettiva sequenza di chiamate.</w:t>
      </w:r>
    </w:p>
    <w:p>
      <w:pPr>
        <w:widowControl/>
        <w:spacing w:line="360" w:lineRule="auto" w:before="0" w:after="0"/>
        <w:ind w:firstLine="340"/>
        <w:jc w:val="both"/>
      </w:pPr>
      <w:r>
        <w:rPr>
          <w:rFonts w:ascii="Times New Roman" w:hAnsi="Times New Roman"/>
          <w:color w:val="000000"/>
          <w:sz w:val="24"/>
        </w:rPr>
        <w:t>La consultazione della scheda mostra prescrizioni e video in base alla settimana e al giorno selezionati. L’esportazione utilizza html2canvas e jsPDF per catturare il contenuto visualizzato e inserirlo in un PDF. Non equivale a esportare automaticamente l’intero programma in un documento strutturato. Questa distinzione descrive il prodotto effettivo e permette di definire una verifica precisa: confrontare il contenuto della selezione mostrata con quello ottenuto dal download.</w:t>
      </w:r>
    </w:p>
    <w:p>
      <w:pPr>
        <w:pageBreakBefore/>
        <w:widowControl/>
        <w:spacing w:line="360" w:lineRule="auto" w:before="0" w:after="0"/>
        <w:ind w:firstLine="340"/>
        <w:jc w:val="both"/>
      </w:pPr>
      <w:r>
        <w:rPr>
          <w:rFonts w:ascii="Times New Roman" w:hAnsi="Times New Roman"/>
          <w:sz w:val="24"/>
        </w:rPr>
        <w:t>L’autenticazione restituisce token access e refresh dopo la verifica delle credenziali e dell’account. Il frontend li conserva nel localStorage insieme agli indicatori utilizzati per mostrare i pannelli. La visibilità dei controlli rimane separata dall’autorizzazione server. La documentazione Django REST Framework distingue permessi generali e controlli sul singolo oggetto, che devono essere invocati correttamente nei percorsi personalizzati [13]. Nella versione iniziale, i controlli di ruolo a livello di oggetto non proteggevano adeguatamente alcuni percorsi gestionali. Le successive correzioni e la relativa matrice di verifica sono esposte nel Capitolo 3 [14].</w:t>
      </w:r>
    </w:p>
    <w:p>
      <w:pPr>
        <w:widowControl/>
        <w:spacing w:line="360" w:lineRule="auto" w:before="0" w:after="0"/>
        <w:ind w:firstLine="340"/>
        <w:jc w:val="both"/>
      </w:pPr>
      <w:r>
        <w:rPr>
          <w:rFonts w:ascii="Times New Roman" w:hAnsi="Times New Roman"/>
          <w:sz w:val="24"/>
        </w:rPr>
        <w:t>La pubblicazione illustra questa distinzione. Il pannello invia un comando al backend, che recupera FormSP e commuta il campo published. La pubblicazione predispone inoltre una notifica e una richiesta di feedback. Nella versione iniziale, la vista manuale non richiamava esplicitamente il controllo sull’oggetto; le regressioni successive alle correzioni verificano il rifiuto degli accessi gestionali non autorizzati e l’assenza di effetti indesiderati [14]. Rimane distinta la semantica del comando: essendo una commutazione dello stato, una sua ripetizione può invertirne nuovamente il valore.</w:t>
      </w:r>
    </w:p>
    <w:p>
      <w:pPr>
        <w:pStyle w:val="Heading2"/>
        <w:keepNext/>
        <w:widowControl/>
        <w:spacing w:line="360" w:lineRule="auto" w:before="0" w:after="160"/>
        <w:ind w:firstLine="0"/>
        <w:jc w:val="both"/>
      </w:pPr>
      <w:r>
        <w:rPr>
          <w:rFonts w:ascii="Times New Roman" w:hAnsi="Times New Roman"/>
          <w:b/>
          <w:color w:val="000000"/>
          <w:sz w:val="24"/>
        </w:rPr>
        <w:t>2.5 Distribuzione in ambiente cloud</w:t>
      </w:r>
    </w:p>
    <w:p>
      <w:pPr>
        <w:widowControl/>
        <w:spacing w:line="360" w:lineRule="auto" w:before="0" w:after="0"/>
        <w:ind w:firstLine="340"/>
        <w:jc w:val="both"/>
      </w:pPr>
      <w:r>
        <w:rPr>
          <w:rFonts w:ascii="Times New Roman" w:hAnsi="Times New Roman"/>
          <w:sz w:val="24"/>
        </w:rPr>
        <w:t>La scelta di distribuzione di FitNexus è un approccio Infrastructure as a Service basato su una sola macchina virtuale Linux. Il fornitore rende disponibili le risorse infrastrutturali, mentre il gestore amministra sistema operativo, runtime dei container e applicazione [1, 3]. Docker Compose coordina i servizi sulla VM [9]. Il repository distingue sviluppo, con build e mount dei sorgenti, e distribuzione, con immagini versionate e file di ambiente. Le verifiche del Capitolo 3 riguardano l’ambiente QA e le integrazioni esplicitamente collaudate; non attestano disponibilità continuativa della VM di produzione.</w:t>
      </w:r>
    </w:p>
    <w:p>
      <w:pPr>
        <w:widowControl/>
        <w:spacing w:line="360" w:lineRule="auto" w:before="0" w:after="0"/>
        <w:ind w:firstLine="340"/>
        <w:jc w:val="both"/>
      </w:pPr>
      <w:r>
        <w:rPr>
          <w:rFonts w:ascii="Times New Roman" w:hAnsi="Times New Roman"/>
          <w:i w:val="0"/>
          <w:sz w:val="24"/>
        </w:rPr>
        <w:t>La soluzione privilegia semplicità iniziale e controllo dell’ambiente. Riunire i componenti su una VM limita il numero di risorse da configurare e rende centralizzata la gestione operativa. I container facilitano la riproducibilità e consentono di intervenire sui processi mantenendone riconoscibili le responsabilità. Per carichi limitati, questa organizzazione può contenere l’impegno infrastrutturale; la convenienza economica dipende tuttavia da dimensionamento, consumi e tempo dedicato all’amministrazione. Il progetto adotta quindi un compromesso tra autonomia di configurazione e oneri di gestione, senza assumere risparmi già dimostrati.</w:t>
      </w:r>
    </w:p>
    <w:p>
      <w:pPr>
        <w:pageBreakBefore/>
        <w:widowControl/>
        <w:spacing w:line="360" w:lineRule="auto" w:before="0" w:after="0"/>
        <w:ind w:firstLine="340"/>
        <w:jc w:val="both"/>
      </w:pPr>
      <w:r>
        <w:rPr>
          <w:rFonts w:ascii="Times New Roman" w:hAnsi="Times New Roman"/>
          <w:sz w:val="24"/>
        </w:rPr>
        <w:t>Nel Compose principale, Nginx pubblica le porte 80 e 443 e monta configurazione e certificati. Nella configurazione docker/nginx/development/default.conf, Nginx serve gli asset React da /usr/share/nginx/html e funge da reverse proxy per le richieste API verso backend:8000. Il backend espone la porta 8000 nell’ambiente dei container, mentre MySQL pubblica la porta 3306 sull’host. Il gestore deve quindi definire quali accessi consentire attraverso rete e firewall; la pubblicazione di una porta non equivale alla sua necessaria esposizione a Internet. La predisposizione di HTTPS richiede inoltre certificati validi e rinnovo controllato. Queste attività collegano la scelta IaaS alla responsabilità concreta sulla superficie di accesso del sistema.</w:t>
      </w:r>
    </w:p>
    <w:p>
      <w:pPr>
        <w:widowControl/>
        <w:spacing w:line="360" w:lineRule="auto" w:before="0" w:after="0"/>
        <w:ind w:firstLine="340"/>
        <w:jc w:val="both"/>
      </w:pPr>
      <w:r>
        <w:rPr>
          <w:rFonts w:ascii="Times New Roman" w:hAnsi="Times New Roman"/>
          <w:i w:val="0"/>
          <w:sz w:val="24"/>
        </w:rPr>
        <w:t>La configurazione di sviluppo pubblica anche backend e Redis e monta i sorgenti locali. Il mount del codice è dichiarato per il backend, mentre worker e scheduler utilizzano l’immagine: una modifica può richiederne la ricostruzione per mantenere coerenti i processi. Le variabili separano parte della configurazione dal codice [8], ma URL, segreti e permessi sui file restano da gestire. Anche i tag richiedono controllo: il Compose principale indica MySQL con latest, mentre quello di sviluppo specifica la serie 8.</w:t>
      </w:r>
    </w:p>
    <w:p>
      <w:pPr>
        <w:widowControl/>
        <w:spacing w:line="360" w:lineRule="auto" w:before="0" w:after="0"/>
        <w:ind w:firstLine="340"/>
        <w:jc w:val="both"/>
      </w:pPr>
      <w:r>
        <w:rPr>
          <w:rFonts w:ascii="Times New Roman" w:hAnsi="Times New Roman"/>
          <w:i w:val="0"/>
          <w:sz w:val="24"/>
        </w:rPr>
        <w:t>La concentrazione su una VM introduce un Single Point of Failure (SPOF): l’indisponibilità dell’host può interrompere tutti i servizi ospitati. I controlli di salute e il riavvio dei container non risolvono la perdita della macchina. Inoltre, backend, database e worker condividono CPU, memoria e capacità del disco. Aumentare le risorse della VM offre una possibilità di crescita verticale, ma non realizza la scalabilità indipendente dei componenti. La concorrenza configurata in Gunicorn riguarda i processi applicativi e non dimostra né capacità sostenibile né alta disponibilità [5].</w:t>
      </w:r>
    </w:p>
    <w:p>
      <w:pPr>
        <w:widowControl/>
        <w:spacing w:line="360" w:lineRule="auto" w:before="0" w:after="0"/>
        <w:ind w:firstLine="340"/>
        <w:jc w:val="both"/>
      </w:pPr>
      <w:r>
        <w:rPr>
          <w:rFonts w:ascii="Times New Roman" w:hAnsi="Times New Roman"/>
          <w:i w:val="0"/>
          <w:sz w:val="24"/>
        </w:rPr>
        <w:t>Nel modello scelto, la sicurezza del sistema operativo Linux ospite è responsabilità del gestore, mentre il fornitore mantiene quella dell’infrastruttura sottostante secondo il servizio [3]. Aggiornamenti, firewall, accessi amministrativi, privilegi dei processi e credenziali applicative richiedono interventi espliciti. L’isolamento dei container non sostituisce la protezione dell’host; immagini e runtime devono essere mantenuti insieme al sistema operativo [4]. Il controllo diretto dell’ambiente consente configurazioni specifiche, ma comporta un impegno continuativo. Questi compiti rappresentano conseguenze della scelta IaaS, non proprietà ottenute automaticamente con Docker.</w:t>
      </w:r>
    </w:p>
    <w:p>
      <w:pPr>
        <w:pageBreakBefore/>
        <w:widowControl/>
        <w:spacing w:line="360" w:lineRule="auto" w:before="0" w:after="0"/>
        <w:ind w:firstLine="340"/>
        <w:jc w:val="both"/>
      </w:pPr>
      <w:r>
        <w:rPr>
          <w:rFonts w:ascii="Times New Roman" w:hAnsi="Times New Roman"/>
          <w:i w:val="0"/>
          <w:sz w:val="24"/>
        </w:rPr>
        <w:t>Il volume mysql_data conserva i dati oltre il ciclo di vita del container MySQL, ma non costituisce un backup. Una cancellazione, una corruzione o la perdita dell’host possono compromettere le informazioni persistenti. La predisposizione delle copie resta a carico del gestore: occorre pianificarne frequenza e conservazione, proteggerle e mantenerle separate dalla VM, verificando il ripristino. La persistenza locale e la recuperabilità sono pertanto requisiti distinti. La configurazione del volume soddisfa una necessità strutturale; l’efficacia della procedura di recupero richiede prove dedicate.</w:t>
      </w:r>
    </w:p>
    <w:p>
      <w:pPr>
        <w:widowControl/>
        <w:spacing w:line="360" w:lineRule="auto" w:before="0" w:after="0"/>
        <w:ind w:firstLine="340"/>
        <w:jc w:val="both"/>
      </w:pPr>
      <w:r>
        <w:rPr>
          <w:rFonts w:ascii="Times New Roman" w:hAnsi="Times New Roman"/>
          <w:i w:val="0"/>
          <w:sz w:val="24"/>
        </w:rPr>
        <w:t>Una possibile evoluzione è la migrazione verso un approccio PaaS disaccoppiato: backend e worker distribuiti separatamente, database gestito e servizi di supporto autonomi. Ciò consentirebbe di valutare il dimensionamento dei componenti secondo carichi differenti e di delegare parte della manutenzione [3]. Backup, disponibilità e scalabilità dipenderebbero comunque dalle opzioni del servizio e dalla configurazione; autorizzazioni applicative e gestione dei dati rimarrebbero responsabilità del progetto. Questa prospettiva sarà approfondita nelle conclusioni come sviluppo futuro, confrontandone benefici, costi e complessità con la soluzione IaaS attuale.</w:t>
      </w:r>
    </w:p>
    <w:p>
      <w:pPr>
        <w:pStyle w:val="Heading2"/>
        <w:keepNext/>
        <w:widowControl/>
        <w:spacing w:line="360" w:lineRule="auto" w:before="0" w:after="160"/>
        <w:ind w:firstLine="0"/>
        <w:jc w:val="both"/>
      </w:pPr>
      <w:r>
        <w:rPr>
          <w:rFonts w:ascii="Times New Roman" w:hAnsi="Times New Roman"/>
          <w:b/>
          <w:color w:val="000000"/>
          <w:sz w:val="24"/>
        </w:rPr>
        <w:t>2.6 Integrazioni e attività asincrone</w:t>
      </w:r>
    </w:p>
    <w:p>
      <w:pPr>
        <w:widowControl/>
        <w:spacing w:line="360" w:lineRule="auto" w:before="0" w:after="0"/>
        <w:ind w:firstLine="340"/>
        <w:jc w:val="both"/>
      </w:pPr>
      <w:r>
        <w:rPr>
          <w:rFonts w:ascii="Times New Roman" w:hAnsi="Times New Roman"/>
          <w:color w:val="000000"/>
          <w:sz w:val="24"/>
        </w:rPr>
        <w:t>Stripe gestisce il listino e il checkout degli abbonamenti. Il frontend seleziona un prezzo e il backend prepara una sessione in modalità subscription, creando quando necessario il cliente Stripe. Il campo locale id_subscription contiene in questo percorso l’identificativo del cliente, non quello dell’abbonamento. La distinzione è necessaria per interpretare i dati: avere un cliente registrato presso il fornitore non dimostra che il pagamento sia stato completato o che l’abbonamento sia attivo.</w:t>
      </w:r>
    </w:p>
    <w:p>
      <w:pPr>
        <w:widowControl/>
        <w:spacing w:line="360" w:lineRule="auto" w:before="0" w:after="0"/>
        <w:ind w:firstLine="340"/>
        <w:jc w:val="both"/>
      </w:pPr>
      <w:r>
        <w:rPr>
          <w:rFonts w:ascii="Times New Roman" w:hAnsi="Times New Roman"/>
          <w:color w:val="000000"/>
          <w:sz w:val="24"/>
        </w:rPr>
        <w:t>Il ritorno alla pagina di successo informa l’utente, mentre le operazioni successive al pagamento vengono attivate dal webhook. Stripe documenta la verifica della firma e la possibilità di riconsegna degli eventi [11]. Nel codice esaminato la firma viene controllata, ma non emerge una registrazione persistente degli eventi già elaborati. Una ripetizione può quindi generare più notifiche o richieste di feedback. Questo limite suggerisce un caso di verifica specifico per il capitolo dei risultati.</w:t>
      </w:r>
    </w:p>
    <w:p>
      <w:pPr>
        <w:pageBreakBefore/>
        <w:widowControl/>
        <w:spacing w:line="360" w:lineRule="auto" w:before="0" w:after="0"/>
        <w:ind w:firstLine="340"/>
        <w:jc w:val="both"/>
      </w:pPr>
      <w:r>
        <w:rPr>
          <w:rFonts w:ascii="Times New Roman" w:hAnsi="Times New Roman"/>
          <w:color w:val="000000"/>
          <w:sz w:val="24"/>
        </w:rPr>
        <w:t>Il riconoscimento del servizio acquistato dipende da descrizioni testuali delle righe della fattura. Il collegamento tra informazione commerciale e logica applicativa è quindi sensibile alle convenzioni di denominazione. Gli eventi di aggiornamento o cancellazione dell’abbonamento non realizzano una sincronizzazione locale completa dei diritti. La disponibilità della scheda e lo stato economico del rapporto non devono essere descritti come equivalenti senza una regola esplicita. Il Customer Portal offre un percorso esterno per la gestione del rapporto di fatturazione, secondo le opzioni configurate nell’account Stripe.</w:t>
      </w:r>
    </w:p>
    <w:p>
      <w:pPr>
        <w:widowControl/>
        <w:spacing w:line="360" w:lineRule="auto" w:before="0" w:after="0"/>
        <w:ind w:firstLine="340"/>
        <w:jc w:val="both"/>
      </w:pPr>
      <w:r>
        <w:rPr>
          <w:rFonts w:ascii="Times New Roman" w:hAnsi="Times New Roman"/>
          <w:color w:val="000000"/>
          <w:sz w:val="24"/>
        </w:rPr>
        <w:t>MailerSend supporta verifica dell’account, recupero password e comunicazioni relative al servizio. I template sono esterni al repository, perciò la presenza di una chiamata non dimostra il contenuto finale o la consegna del messaggio. Diverse email vengono richieste durante la gestione HTTP, mentre gli inviti periodici passano dal percorso dei task. Vimeo fornisce upload e riproduzione dei video: il programma conserva riferimenti ai contenuti, senza trasformare MySQL in un archivio dei file multimediali.</w:t>
      </w:r>
    </w:p>
    <w:p>
      <w:pPr>
        <w:widowControl/>
        <w:spacing w:line="360" w:lineRule="auto" w:before="0" w:after="0"/>
        <w:ind w:firstLine="340"/>
        <w:jc w:val="both"/>
      </w:pPr>
      <w:r>
        <w:rPr>
          <w:rFonts w:ascii="Times New Roman" w:hAnsi="Times New Roman"/>
          <w:sz w:val="24"/>
        </w:rPr>
        <w:t>Celery distingue invio delle attività ed esecuzione tramite worker [10]. Il progetto dichiara Celery 5.4.0; Redis sostiene la comunicazione e Celery Beat utilizza uno scheduler basato sul database. Nella versione iniziale, la selezione dei feedback e l’accesso a una relazione potenzialmente assente causavano errori. Dopo la correzione, alle verifiche dirette delle funzioni è seguita un’esecuzione riuscita attraverso Beat, Redis e worker. I log, il risultato del task e i messaggi raccolti localmente documentano il percorso completo fino al trasporto email simulato. Il Capitolo 3 ne distingue esiti e limiti [14, 19].</w:t>
      </w:r>
    </w:p>
    <w:p>
      <w:pPr>
        <w:widowControl/>
        <w:spacing w:line="360" w:lineRule="auto" w:before="0" w:after="0"/>
        <w:ind w:firstLine="340"/>
        <w:jc w:val="both"/>
      </w:pPr>
      <w:r>
        <w:rPr>
          <w:rFonts w:ascii="Times New Roman" w:hAnsi="Times New Roman"/>
          <w:color w:val="000000"/>
          <w:sz w:val="24"/>
        </w:rPr>
        <w:t>Nel complesso, FitNexus integra funzioni applicative e servizi esterni attraverso percorsi con responsabilità differenti. La valutazione dovrà seguire sia il caso regolare sia gli errori significativi: autorizzazione negata, pagamento ripetuto, notifica non consegnata e processo periodico non eseguito. Il capitolo successivo potrà documentare gli esiti delle prove effettivamente svolte, mantenendo distinta la configurazione osservata dai risultati misurati.</w:t>
      </w:r>
    </w:p>
    <w:p>
      <w:pPr>
        <w:pStyle w:val="Heading1"/>
        <w:keepNext/>
        <w:pageBreakBefore/>
        <w:widowControl/>
        <w:spacing w:line="360" w:lineRule="auto" w:before="0" w:after="160"/>
        <w:ind w:firstLine="0"/>
        <w:jc w:val="left"/>
      </w:pPr>
      <w:r>
        <w:rPr>
          <w:rFonts w:ascii="Times New Roman" w:hAnsi="Times New Roman"/>
          <w:b/>
          <w:color w:val="000000"/>
          <w:sz w:val="28"/>
        </w:rPr>
        <w:t>Capitolo 3 – Risultati di esecuzione</w:t>
      </w:r>
    </w:p>
    <w:p>
      <w:pPr>
        <w:pStyle w:val="Heading2"/>
        <w:keepNext/>
        <w:pageBreakBefore w:val="0"/>
        <w:widowControl/>
        <w:spacing w:line="360" w:lineRule="auto" w:before="0" w:after="160"/>
        <w:ind w:firstLine="0"/>
        <w:jc w:val="left"/>
      </w:pPr>
      <w:r>
        <w:rPr>
          <w:rFonts w:ascii="Times New Roman" w:hAnsi="Times New Roman"/>
          <w:b/>
          <w:color w:val="000000"/>
          <w:sz w:val="24"/>
        </w:rPr>
        <w:t>3.1 Ambiente e metodo di verifica</w:t>
      </w:r>
    </w:p>
    <w:p>
      <w:pPr>
        <w:keepNext w:val="0"/>
        <w:pageBreakBefore w:val="0"/>
        <w:widowControl/>
        <w:spacing w:line="360" w:lineRule="auto" w:before="0" w:after="0"/>
        <w:ind w:firstLine="340"/>
        <w:jc w:val="both"/>
      </w:pPr>
      <w:r>
        <w:rPr>
          <w:rFonts w:ascii="Times New Roman" w:hAnsi="Times New Roman"/>
          <w:sz w:val="24"/>
        </w:rPr>
        <w:t>Il capitolo presenta il collaudo funzionale iniziale e le successive verifiche delle correzioni [14], integrate dalle prove di carico del 3 ottobre e dai test di Stripe, Celery Beat e Vimeo del 3–4 ottobre 2026 [15, 18–20]. Le evidenze comprendono risposte API, letture del database, log, stati restituiti dai provider e interazioni browser. Sono distinti i controlli automatici, le risposte simulate e le verifiche manuali documentate. La validazione si fonda sui resoconti e sulle evidenze richiamate. Non sono stati acquisiti log o metriche del precedente esercizio in produzione: da quel periodo non si ricavano valori di uptime, volumi d’uso o attestazioni di affidabilità.</w:t>
      </w:r>
    </w:p>
    <w:p>
      <w:pPr>
        <w:keepNext w:val="0"/>
        <w:pageBreakBefore w:val="0"/>
        <w:widowControl/>
        <w:spacing w:line="360" w:lineRule="auto" w:before="0" w:after="0"/>
        <w:ind w:firstLine="340"/>
        <w:jc w:val="both"/>
      </w:pPr>
      <w:r>
        <w:rPr>
          <w:rFonts w:ascii="Times New Roman" w:hAnsi="Times New Roman"/>
          <w:sz w:val="24"/>
        </w:rPr>
        <w:t>Le prime verifiche su Windows con SQLite, svolte quando Docker non era disponibile, costituiscono esclusivamente prove preliminari di sviluppo: non sono assunte come evidenza del comportamento su MySQL. Il collaudo di riferimento utilizza MySQL 8 in container Linux tramite Docker Desktop su WSL2, Docker 29.0.1 e Compose 2.40.3. La configurazione qa/local/docker-compose.qa.yml comprendeva MySQL, Redis, backend, Nginx, worker Celery e Beat. Il backend usava Python 3.8, Django 3.2.9 e Gunicorn 23.0.0 con due worker e due thread per worker. Nei risultati seguenti si riportano i controlli su MySQL; permangono le differenze fra ambiente QA e distribuzione descritte nel Capitolo 2, mentre la concorrenza è valutata separatamente nel paragrafo 3.6.</w:t>
      </w:r>
    </w:p>
    <w:p>
      <w:pPr>
        <w:keepNext w:val="0"/>
        <w:pageBreakBefore w:val="0"/>
        <w:widowControl/>
        <w:spacing w:line="360" w:lineRule="auto" w:before="0" w:after="0"/>
        <w:ind w:firstLine="340"/>
        <w:jc w:val="both"/>
      </w:pPr>
      <w:r>
        <w:rPr>
          <w:rFonts w:ascii="Times New Roman" w:hAnsi="Times New Roman"/>
          <w:sz w:val="24"/>
        </w:rPr>
        <w:t>I sei servizi sono stati contemporaneamente attivi nella fase Docker iniziale; nelle correzioni browser, worker e Beat sono rimasti spenti. Frontend e API erano esposti sul loopback, con account fittizi e dati di prova. L’isolamento iniziale bloccava Stripe e Vimeo; i collaudi successivi hanno utilizzato configurazioni dedicate per accedere a Stripe Sandbox e al servizio Vimeo reale. La verifica Beat ha impiegato worker e coda dedicati. In tutte queste prove il trasporto email è rimasto sostituito da un raccoglitore locale [14, 18–20].</w:t>
      </w:r>
    </w:p>
    <w:p>
      <w:pPr>
        <w:keepNext w:val="0"/>
        <w:pageBreakBefore w:val="0"/>
        <w:widowControl/>
        <w:spacing w:line="360" w:lineRule="auto" w:before="0" w:after="0"/>
        <w:ind w:firstLine="340"/>
        <w:jc w:val="both"/>
      </w:pPr>
      <w:r>
        <w:rPr>
          <w:rFonts w:ascii="Times New Roman" w:hAnsi="Times New Roman"/>
          <w:sz w:val="24"/>
        </w:rPr>
        <w:t>Il metodo confronta risultato atteso ed esito osservato, specificando il livello di verifica: API, browser o infrastruttura. Le evidenze funzionali in docs/prove-locali sono ricondotte a [14]. La successiva campagna del 3 ottobre misura latenza, portata e risorse per login e consultazione; metodo e risultati sono esposti nel paragrafo 3.6 [15]. Coerentemente con gli obiettivi osservabili richiamati in [5], il superamento di un caso funzionale rimane distinto dalla misura delle prestazioni e dalla disponibilità del servizio.</w:t>
      </w:r>
    </w:p>
    <w:p>
      <w:pPr>
        <w:pStyle w:val="Heading2"/>
        <w:keepNext/>
        <w:pageBreakBefore/>
        <w:widowControl/>
        <w:spacing w:line="360" w:lineRule="auto" w:before="0" w:after="160"/>
        <w:ind w:firstLine="0"/>
        <w:jc w:val="left"/>
      </w:pPr>
      <w:r>
        <w:rPr>
          <w:rFonts w:ascii="Times New Roman" w:hAnsi="Times New Roman"/>
          <w:b/>
          <w:color w:val="000000"/>
          <w:sz w:val="24"/>
        </w:rPr>
        <w:t>3.2 Accesso e richiesta del servizio</w:t>
      </w:r>
    </w:p>
    <w:p>
      <w:pPr>
        <w:keepNext w:val="0"/>
        <w:pageBreakBefore w:val="0"/>
        <w:widowControl/>
        <w:spacing w:line="360" w:lineRule="auto" w:before="0" w:after="0"/>
        <w:ind w:firstLine="340"/>
        <w:jc w:val="both"/>
      </w:pPr>
      <w:r>
        <w:rPr>
          <w:rFonts w:ascii="Times New Roman" w:hAnsi="Times New Roman"/>
          <w:sz w:val="24"/>
        </w:rPr>
        <w:t>Registrazione e verifica email sono state provate attraverso le API su MySQL nell’ambiente QA. L’invio completo ha creato l’account con HTTP 201; duplicati e dati incompleti sono stati respinti con 400. Il token generato è stato recuperato dal messaggio raccolto localmente: quello valido ha attivato l’account con 200, mentre token errati o scaduti hanno prodotto 400. Questi esiti attestano la logica applicativa, non la registrazione tramite browser né la consegna del messaggio a una casella reale [14, prove 3.1–3.2].</w:t>
      </w:r>
    </w:p>
    <w:p>
      <w:pPr>
        <w:keepNext w:val="0"/>
        <w:pageBreakBefore w:val="0"/>
        <w:widowControl/>
        <w:spacing w:line="360" w:lineRule="auto" w:before="0" w:after="0"/>
        <w:ind w:firstLine="340"/>
        <w:jc w:val="both"/>
      </w:pPr>
      <w:r>
        <w:rPr>
          <w:rFonts w:ascii="Times New Roman" w:hAnsi="Times New Roman"/>
          <w:b w:val="0"/>
          <w:color w:val="000000"/>
          <w:sz w:val="24"/>
        </w:rPr>
        <w:t>Il login ha restituito 401 per password errata o account non verificato e 200 con credenziali valide. Nel browser sono stati osservati accesso al profilo e ritorno alla richiesta di autenticazione dopo il logout. Separatamente, il logout API ha restituito 204 e il riutilizzo del refresh token revocato ha prodotto 401. La revoca è documentata dalla prova API e non dedotta dalla sola scomparsa del profilo. Gli esiti sono conservati in api-docker-results.json e http-docker-results.json.</w:t>
      </w:r>
    </w:p>
    <w:p>
      <w:pPr>
        <w:keepNext w:val="0"/>
        <w:pageBreakBefore w:val="0"/>
        <w:widowControl/>
        <w:spacing w:line="360" w:lineRule="auto" w:before="0" w:after="0"/>
        <w:ind w:firstLine="340"/>
        <w:jc w:val="both"/>
      </w:pPr>
      <w:r>
        <w:rPr>
          <w:rFonts w:ascii="Times New Roman" w:hAnsi="Times New Roman"/>
          <w:sz w:val="24"/>
        </w:rPr>
        <w:t>Il questionario è stato compilato nelle sei pagine dell’interfaccia: una risposta obbligatoria mancante ha impedito l’invio; il completamento ha salvato 48 voci in MySQL e aperto /payment. Inizialmente il backend accettava un questionario vuoto. Dopo la correzione, payload vuoti o malformati sono stati respinti senza scritture: 27 controlli su MySQL sono risultati superati. Restano non esaustivamente verificate le combinazioni condizionali e il caricamento della fotografia; le regole server non replicano tutte le obbligatorietà del frontend.</w:t>
      </w:r>
    </w:p>
    <w:p>
      <w:pPr>
        <w:keepNext w:val="0"/>
        <w:pageBreakBefore w:val="0"/>
        <w:widowControl/>
        <w:spacing w:line="360" w:lineRule="auto" w:before="0" w:after="0"/>
        <w:ind w:firstLine="340"/>
        <w:jc w:val="both"/>
      </w:pPr>
      <w:r>
        <w:rPr>
          <w:rFonts w:ascii="Times New Roman" w:hAnsi="Times New Roman"/>
          <w:b w:val="0"/>
          <w:color w:val="000000"/>
          <w:sz w:val="24"/>
        </w:rPr>
        <w:t>È stato corretto anche il recupero dopo scadenza della sessione. Con token QA a durata breve, le risposte sono rimaste nella pagina dopo il 401; un nuovo login ha consentito il reinvio senza ricaricarla. Il log documenta richiesta iniziale respinta, rinnovo riuscito e salvataggio con 201. Gli 11 test frontend includono errori di rete e richieste concorrenti. La conservazione riguarda la memoria della pagina aperta, senza introdurre una bozza persistente dopo chiusura o ricarica [14, prove 3.4–3.5].</w:t>
      </w:r>
    </w:p>
    <w:p>
      <w:pPr>
        <w:pStyle w:val="Heading2"/>
        <w:keepNext/>
        <w:pageBreakBefore/>
        <w:widowControl/>
        <w:spacing w:line="360" w:lineRule="auto" w:before="0" w:after="160"/>
        <w:ind w:firstLine="0"/>
        <w:jc w:val="left"/>
      </w:pPr>
      <w:r>
        <w:rPr>
          <w:rFonts w:ascii="Times New Roman" w:hAnsi="Times New Roman"/>
          <w:b/>
          <w:color w:val="000000"/>
          <w:sz w:val="24"/>
        </w:rPr>
        <w:t>3.3 Acquisto e gestione del pagamento</w:t>
      </w:r>
    </w:p>
    <w:p>
      <w:pPr>
        <w:keepNext w:val="0"/>
        <w:pageBreakBefore w:val="0"/>
        <w:widowControl/>
        <w:spacing w:line="360" w:lineRule="auto" w:before="0" w:after="0"/>
        <w:ind w:firstLine="340"/>
        <w:jc w:val="both"/>
      </w:pPr>
      <w:r>
        <w:rPr>
          <w:rFonts w:ascii="Times New Roman" w:hAnsi="Times New Roman"/>
          <w:sz w:val="24"/>
        </w:rPr>
        <w:t>Il limite del primo collaudo, circoscritto all’apertura di /payment, è stato superato da sei acquisti iniziali in Stripe Sandbox [18]. L’endpoint autenticato di FitNexus ha creato le sessioni Checkout per sei clienti sintetici; l’utente ha completato manualmente i pagamenti. Stripe CLI ha inoltrato gli eventi al webhook locale. Questionari e selezioni del coach erano dati predisposti: il test non ripete l’intero percorso UI né verifica il reindirizzamento dal pulsante della pagina di pagamento. I sei piani, scheda e coaching per uno, tre e sei mesi, hanno totalizzato 295 EUR simulati, senza denaro reale.</w:t>
      </w:r>
    </w:p>
    <w:p>
      <w:pPr>
        <w:keepNext w:val="0"/>
        <w:pageBreakBefore w:val="0"/>
        <w:widowControl/>
        <w:spacing w:line="360" w:lineRule="auto" w:before="0" w:after="0"/>
        <w:ind w:firstLine="340"/>
        <w:jc w:val="both"/>
      </w:pPr>
      <w:r>
        <w:rPr>
          <w:rFonts w:ascii="Times New Roman" w:hAnsi="Times New Roman"/>
          <w:sz w:val="24"/>
        </w:rPr>
        <w:t>Tutti i casi risultano superati: sessioni complete, pagamenti e fatture saldati, sottoscrizioni attive. La riconciliazione associa sessione, fattura e sottoscrizione a 18 eventi ricevuti con HTTP 200 e agli effetti locali, evitando di dedurre il successo dalla sola pagina di ritorno [11, 18]. Per le schede sono stati creati rispettivamente zero, due e cinque feedback mensili; per il coaching è stata consumata la selezione temporanea del coach. I 21 messaggi raccolti localmente documentano la generazione delle notifiche, non il recapito. Sono emerse composizioni errate dei nomi visualizzati in alcune email, con indirizzi corretti.</w:t>
      </w:r>
    </w:p>
    <w:p>
      <w:pPr>
        <w:keepNext/>
        <w:pageBreakBefore w:val="0"/>
        <w:widowControl/>
        <w:spacing w:line="360" w:lineRule="auto" w:before="0" w:after="0"/>
        <w:ind w:firstLine="0"/>
        <w:jc w:val="left"/>
      </w:pPr>
      <w:r>
        <w:rPr>
          <w:rFonts w:ascii="Times New Roman" w:hAnsi="Times New Roman"/>
          <w:b w:val="0"/>
          <w:color w:val="000000"/>
          <w:sz w:val="20"/>
        </w:rPr>
        <w:t>Tabella 3.1 – Evidenze sulle integrazioni esterne.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247"/>
        <w:gridCol w:w="3061"/>
        <w:gridCol w:w="4195"/>
      </w:tblGrid>
      <w:tr>
        <w:trPr>
          <w:cantSplit/>
          <w:tblHeader/>
        </w:trPr>
        <w:tc>
          <w:tcPr>
            <w:tcW w:type="dxa" w:w="1247"/>
            <w:shd w:fill="EDEDED"/>
          </w:tcPr>
          <w:p>
            <w:pPr>
              <w:keepNext/>
              <w:pageBreakBefore w:val="0"/>
              <w:widowControl/>
              <w:spacing w:line="360" w:lineRule="auto" w:before="0" w:after="0"/>
              <w:ind w:firstLine="0"/>
              <w:jc w:val="left"/>
            </w:pPr>
            <w:r>
              <w:rPr>
                <w:rFonts w:ascii="Times New Roman" w:hAnsi="Times New Roman"/>
                <w:b/>
                <w:sz w:val="24"/>
              </w:rPr>
              <w:t>Servizio</w:t>
            </w:r>
          </w:p>
        </w:tc>
        <w:tc>
          <w:tcPr>
            <w:tcW w:type="dxa" w:w="3061"/>
            <w:shd w:fill="EDEDED"/>
          </w:tcPr>
          <w:p>
            <w:pPr>
              <w:keepNext/>
              <w:pageBreakBefore w:val="0"/>
              <w:widowControl/>
              <w:spacing w:line="360" w:lineRule="auto" w:before="0" w:after="0"/>
              <w:ind w:firstLine="0"/>
              <w:jc w:val="left"/>
            </w:pPr>
            <w:r>
              <w:rPr>
                <w:rFonts w:ascii="Times New Roman" w:hAnsi="Times New Roman"/>
                <w:b/>
                <w:sz w:val="24"/>
              </w:rPr>
              <w:t>Evidenza</w:t>
            </w:r>
          </w:p>
        </w:tc>
        <w:tc>
          <w:tcPr>
            <w:tcW w:type="dxa" w:w="4195"/>
            <w:shd w:fill="EDEDED"/>
          </w:tcPr>
          <w:p>
            <w:pPr>
              <w:keepNext/>
              <w:pageBreakBefore w:val="0"/>
              <w:widowControl/>
              <w:spacing w:line="360" w:lineRule="auto" w:before="0" w:after="0"/>
              <w:ind w:firstLine="0"/>
              <w:jc w:val="left"/>
            </w:pPr>
            <w:r>
              <w:rPr>
                <w:rFonts w:ascii="Times New Roman" w:hAnsi="Times New Roman"/>
                <w:b/>
                <w:sz w:val="24"/>
              </w:rPr>
              <w:t>Limite</w:t>
            </w:r>
          </w:p>
        </w:tc>
      </w:tr>
      <w:tr>
        <w:trPr>
          <w:cantSplit/>
        </w:trPr>
        <w:tc>
          <w:tcPr>
            <w:tcW w:type="dxa" w:w="1247"/>
          </w:tcPr>
          <w:p>
            <w:pPr>
              <w:keepNext w:val="0"/>
              <w:pageBreakBefore w:val="0"/>
              <w:widowControl/>
              <w:spacing w:line="360" w:lineRule="auto" w:before="0" w:after="0"/>
              <w:ind w:firstLine="0"/>
              <w:jc w:val="left"/>
            </w:pPr>
            <w:r>
              <w:rPr>
                <w:rFonts w:ascii="Times New Roman" w:hAnsi="Times New Roman"/>
                <w:sz w:val="24"/>
              </w:rPr>
              <w:t>Stripe</w:t>
            </w:r>
          </w:p>
        </w:tc>
        <w:tc>
          <w:tcPr>
            <w:tcW w:type="dxa" w:w="3061"/>
          </w:tcPr>
          <w:p>
            <w:pPr>
              <w:keepNext w:val="0"/>
              <w:pageBreakBefore w:val="0"/>
              <w:widowControl/>
              <w:spacing w:line="360" w:lineRule="auto" w:before="0" w:after="0"/>
              <w:ind w:firstLine="0"/>
              <w:jc w:val="left"/>
            </w:pPr>
            <w:r>
              <w:rPr>
                <w:rFonts w:ascii="Times New Roman" w:hAnsi="Times New Roman"/>
                <w:sz w:val="24"/>
              </w:rPr>
              <w:t>6 acquisti Sandbox; 18 webhook HTTP 200 [18]</w:t>
            </w:r>
          </w:p>
        </w:tc>
        <w:tc>
          <w:tcPr>
            <w:tcW w:type="dxa" w:w="4195"/>
          </w:tcPr>
          <w:p>
            <w:pPr>
              <w:keepNext w:val="0"/>
              <w:pageBreakBefore w:val="0"/>
              <w:widowControl/>
              <w:spacing w:line="360" w:lineRule="auto" w:before="0" w:after="0"/>
              <w:ind w:firstLine="0"/>
              <w:jc w:val="left"/>
            </w:pPr>
            <w:r>
              <w:rPr>
                <w:rFonts w:ascii="Times New Roman" w:hAnsi="Times New Roman"/>
                <w:sz w:val="24"/>
              </w:rPr>
              <w:t>Rinnovi e duplicati non provati</w:t>
            </w:r>
          </w:p>
        </w:tc>
      </w:tr>
      <w:tr>
        <w:trPr>
          <w:cantSplit/>
        </w:trPr>
        <w:tc>
          <w:tcPr>
            <w:tcW w:type="dxa" w:w="1247"/>
          </w:tcPr>
          <w:p>
            <w:pPr>
              <w:keepNext w:val="0"/>
              <w:pageBreakBefore w:val="0"/>
              <w:widowControl/>
              <w:spacing w:line="360" w:lineRule="auto" w:before="0" w:after="0"/>
              <w:ind w:firstLine="0"/>
              <w:jc w:val="left"/>
            </w:pPr>
            <w:r>
              <w:rPr>
                <w:rFonts w:ascii="Times New Roman" w:hAnsi="Times New Roman"/>
                <w:sz w:val="24"/>
              </w:rPr>
              <w:t>Email</w:t>
            </w:r>
          </w:p>
        </w:tc>
        <w:tc>
          <w:tcPr>
            <w:tcW w:type="dxa" w:w="3061"/>
          </w:tcPr>
          <w:p>
            <w:pPr>
              <w:keepNext w:val="0"/>
              <w:pageBreakBefore w:val="0"/>
              <w:widowControl/>
              <w:spacing w:line="360" w:lineRule="auto" w:before="0" w:after="0"/>
              <w:ind w:firstLine="0"/>
              <w:jc w:val="left"/>
            </w:pPr>
            <w:r>
              <w:rPr>
                <w:rFonts w:ascii="Times New Roman" w:hAnsi="Times New Roman"/>
                <w:sz w:val="24"/>
              </w:rPr>
              <w:t>Messaggi raccolti; trasporto simulato</w:t>
            </w:r>
          </w:p>
        </w:tc>
        <w:tc>
          <w:tcPr>
            <w:tcW w:type="dxa" w:w="4195"/>
          </w:tcPr>
          <w:p>
            <w:pPr>
              <w:keepNext w:val="0"/>
              <w:pageBreakBefore w:val="0"/>
              <w:widowControl/>
              <w:spacing w:line="360" w:lineRule="auto" w:before="0" w:after="0"/>
              <w:ind w:firstLine="0"/>
              <w:jc w:val="left"/>
            </w:pPr>
            <w:r>
              <w:rPr>
                <w:rFonts w:ascii="Times New Roman" w:hAnsi="Times New Roman"/>
                <w:sz w:val="24"/>
              </w:rPr>
              <w:t>Recapito reale non provato</w:t>
            </w:r>
          </w:p>
        </w:tc>
      </w:tr>
      <w:tr>
        <w:trPr>
          <w:cantSplit/>
        </w:trPr>
        <w:tc>
          <w:tcPr>
            <w:tcW w:type="dxa" w:w="1247"/>
          </w:tcPr>
          <w:p>
            <w:pPr>
              <w:keepNext w:val="0"/>
              <w:pageBreakBefore w:val="0"/>
              <w:widowControl/>
              <w:spacing w:line="360" w:lineRule="auto" w:before="0" w:after="0"/>
              <w:ind w:firstLine="0"/>
              <w:jc w:val="left"/>
            </w:pPr>
            <w:r>
              <w:rPr>
                <w:rFonts w:ascii="Times New Roman" w:hAnsi="Times New Roman"/>
                <w:sz w:val="24"/>
              </w:rPr>
              <w:t>Vimeo</w:t>
            </w:r>
          </w:p>
        </w:tc>
        <w:tc>
          <w:tcPr>
            <w:tcW w:type="dxa" w:w="3061"/>
          </w:tcPr>
          <w:p>
            <w:pPr>
              <w:keepNext w:val="0"/>
              <w:pageBreakBefore w:val="0"/>
              <w:widowControl/>
              <w:spacing w:line="360" w:lineRule="auto" w:before="0" w:after="0"/>
              <w:ind w:firstLine="0"/>
              <w:jc w:val="left"/>
            </w:pPr>
            <w:r>
              <w:rPr>
                <w:rFonts w:ascii="Times New Roman" w:hAnsi="Times New Roman"/>
                <w:sz w:val="24"/>
              </w:rPr>
              <w:t>Upload e player reale; embed verificato manualmente [20]</w:t>
            </w:r>
          </w:p>
        </w:tc>
        <w:tc>
          <w:tcPr>
            <w:tcW w:type="dxa" w:w="4195"/>
          </w:tcPr>
          <w:p>
            <w:pPr>
              <w:keepNext w:val="0"/>
              <w:pageBreakBefore w:val="0"/>
              <w:widowControl/>
              <w:spacing w:line="360" w:lineRule="auto" w:before="0" w:after="0"/>
              <w:ind w:firstLine="0"/>
              <w:jc w:val="left"/>
            </w:pPr>
            <w:r>
              <w:rPr>
                <w:rFonts w:ascii="Times New Roman" w:hAnsi="Times New Roman"/>
                <w:sz w:val="24"/>
              </w:rPr>
              <w:t>Automazione embed non conclusiva</w:t>
            </w:r>
          </w:p>
        </w:tc>
      </w:tr>
    </w:tbl>
    <w:p>
      <w:pPr>
        <w:keepNext w:val="0"/>
        <w:pageBreakBefore w:val="0"/>
        <w:widowControl/>
        <w:spacing w:line="360" w:lineRule="auto" w:before="0" w:after="0"/>
        <w:ind w:firstLine="340"/>
        <w:jc w:val="both"/>
      </w:pPr>
      <w:r>
        <w:rPr>
          <w:rFonts w:ascii="Times New Roman" w:hAnsi="Times New Roman"/>
          <w:sz w:val="24"/>
        </w:rPr>
        <w:t>I risultati attestano i primi acquisti e l’elaborazione dei relativi webhook, con evidenze in results.json, reconciliation.json e listener.log richiamate da [18]. Restano da verificare rinnovi, rifiuti, autenticazione aggiuntiva, annullamento e deduplicazione degli eventi. La CLI rende osservabile l’integrazione con il backend locale, ma l’esito dei casi eseguiti non dimostra il comportamento per ogni ordine o riconsegna possibile. Le email reali e i pagamenti PayPal rimangono esclusi.</w:t>
      </w:r>
    </w:p>
    <w:p>
      <w:pPr>
        <w:pStyle w:val="Heading2"/>
        <w:keepNext/>
        <w:pageBreakBefore/>
        <w:widowControl/>
        <w:spacing w:line="360" w:lineRule="auto" w:before="0" w:after="160"/>
        <w:ind w:firstLine="0"/>
        <w:jc w:val="left"/>
      </w:pPr>
      <w:r>
        <w:rPr>
          <w:rFonts w:ascii="Times New Roman" w:hAnsi="Times New Roman"/>
          <w:b/>
          <w:color w:val="000000"/>
          <w:sz w:val="24"/>
        </w:rPr>
        <w:t>3.4 Preparazione e fruizione della scheda</w:t>
      </w:r>
    </w:p>
    <w:p>
      <w:pPr>
        <w:keepNext w:val="0"/>
        <w:pageBreakBefore w:val="0"/>
        <w:widowControl/>
        <w:spacing w:line="360" w:lineRule="auto" w:before="0" w:after="0"/>
        <w:ind w:firstLine="340"/>
        <w:jc w:val="both"/>
      </w:pPr>
      <w:r>
        <w:rPr>
          <w:rFonts w:ascii="Times New Roman" w:hAnsi="Times New Roman"/>
          <w:b w:val="0"/>
          <w:color w:val="000000"/>
          <w:sz w:val="24"/>
        </w:rPr>
        <w:t>Il percorso principale è stato verificato dal punto di vista del trainer e del cliente. La creazione tramite API di una scheda con settimana, giorno, sezione ed esercizio ha restituito 201; la modifica delle ripetizioni da 10 a 12 ha restituito 200. La lettura successiva ha confermato i parametri aggiornati. Nel browser il trainer ha selezionato una scheda esistente, modificato il nome e salvato il cambiamento, poi riscontrato nel database. La creazione da zero è quindi documentata via API, mentre l’interazione browser riguarda una modifica [14, prova 3.7].</w:t>
      </w:r>
    </w:p>
    <w:p>
      <w:pPr>
        <w:keepNext w:val="0"/>
        <w:pageBreakBefore w:val="0"/>
        <w:widowControl/>
        <w:spacing w:line="360" w:lineRule="auto" w:before="0" w:after="0"/>
        <w:ind w:firstLine="340"/>
        <w:jc w:val="both"/>
      </w:pPr>
      <w:r>
        <w:rPr>
          <w:rFonts w:ascii="Times New Roman" w:hAnsi="Times New Roman"/>
          <w:b w:val="0"/>
          <w:color w:val="000000"/>
          <w:sz w:val="24"/>
        </w:rPr>
        <w:t>Pubblicazione, ritiro e ripubblicazione sono stati eseguiti tramite API. Il cliente non ha potuto consultare la bozza o la scheda ritirata, ricevendo 404; la scheda pubblicata è invece risultata accessibile. La prima pubblicazione ha creato una richiesta di feedback. Nell’interfaccia del trainer, il comando Pubblica è diventato Ritira e il database ha registrato published=True. Le notifiche prodotte sono state intercettate localmente: lo stato della scheda e l’invio reale dell’email rimangono riscontri distinti.</w:t>
      </w:r>
    </w:p>
    <w:p>
      <w:pPr>
        <w:keepNext w:val="0"/>
        <w:pageBreakBefore w:val="0"/>
        <w:widowControl/>
        <w:spacing w:line="360" w:lineRule="auto" w:before="0" w:after="0"/>
        <w:ind w:firstLine="340"/>
        <w:jc w:val="both"/>
      </w:pPr>
      <w:r>
        <w:rPr>
          <w:rFonts w:ascii="Times New Roman" w:hAnsi="Times New Roman"/>
          <w:sz w:val="24"/>
        </w:rPr>
        <w:t>Le prove iniziali hanno evidenziato accessi impropri di clienti ordinari ad alcune operazioni gestionali. Dopo la correzione, sono stati superati 99 controlli su MySQL. La matrice comprende cliente proprietario, altro cliente, utente solo staff, trainer, superutente e anonimo. Trainer e superutente risultano autorizzati; gli altri profili sono respinti nelle operazioni gestionali. I casi negativi verificano anche l’assenza di modifiche, feedback o notifiche indesiderati. Il risultato riguarda gli endpoint delle schede provati, non un audit di tutte le autorizzazioni dell’applicazione.</w:t>
      </w:r>
    </w:p>
    <w:p>
      <w:pPr>
        <w:keepNext w:val="0"/>
        <w:pageBreakBefore w:val="0"/>
        <w:widowControl/>
        <w:spacing w:line="360" w:lineRule="auto" w:before="0" w:after="0"/>
        <w:ind w:firstLine="340"/>
        <w:jc w:val="both"/>
      </w:pPr>
      <w:r>
        <w:rPr>
          <w:rFonts w:ascii="Times New Roman" w:hAnsi="Times New Roman"/>
          <w:sz w:val="24"/>
        </w:rPr>
        <w:t>La separazione tra accesso generale e controllo dell’operazione trova riferimento nella documentazione del framework [13]; il suo funzionamento concreto è sostenuto dalle regressioni su MySQL documentate in fix-permissions-mysql.json. Le correzioni permettono di descrivere l’esito attuale dei casi verificati senza cancellare le anomalie iniziali, che rimangono parte del percorso di validazione e motivano gli interventi effettuati.</w:t>
      </w:r>
    </w:p>
    <w:p>
      <w:pPr>
        <w:keepNext w:val="0"/>
        <w:pageBreakBefore/>
        <w:widowControl/>
        <w:spacing w:line="360" w:lineRule="auto" w:before="0" w:after="0"/>
        <w:ind w:firstLine="340"/>
        <w:jc w:val="both"/>
      </w:pPr>
      <w:r>
        <w:rPr>
          <w:rFonts w:ascii="Times New Roman" w:hAnsi="Times New Roman"/>
          <w:b w:val="0"/>
          <w:color w:val="000000"/>
          <w:sz w:val="24"/>
        </w:rPr>
        <w:t>La consultazione della scheda pubblicata è stata verificata attraverso API, richieste HTTP e browser. Il cliente proprietario ha visualizzato la gerarchia del programma e uno squat con tre serie, dodici ripetizioni, recupero di un minuto, carico, intensità e descrizione. Un secondo cliente ha ricevuto 404 dall’API personale e l’utente anonimo 401. La fixture comprendeva un giorno: l’esito non copre tutte le combinazioni di settimane, sezioni e superserie. La schermata scheda-browser.png e la risposta in http-docker-results.json documentano il caso [14, prova 3.10].</w:t>
      </w:r>
    </w:p>
    <w:p>
      <w:pPr>
        <w:keepNext w:val="0"/>
        <w:pageBreakBefore w:val="0"/>
        <w:widowControl/>
        <w:spacing w:line="360" w:lineRule="auto" w:before="0" w:after="0"/>
        <w:ind w:firstLine="340"/>
        <w:jc w:val="both"/>
      </w:pPr>
      <w:r>
        <w:rPr>
          <w:rFonts w:ascii="Times New Roman" w:hAnsi="Times New Roman"/>
          <w:b w:val="0"/>
          <w:color w:val="000000"/>
          <w:sz w:val="24"/>
        </w:rPr>
        <w:t>L’esportazione PDF presentava inizialmente un taglio del lato destro; con viewport stretto, i parametri superavano anche la larghezza della scheda. Dopo gli interventi su orientamento, disposizione e animazione della copia esportata, i file scaricati sono risultati apribili e completi. Il resoconto documenta una pagina con titolo, esercizio, cinque parametri e descrizione, sia in desktop sia con viewport 390×844. I controlli geometrici confermano che l’immagine rientra nella pagina. Sono prove del giorno selezionato, non dell’intero programma, e la variazione del viewport non equivale a un test su telefono fisico.</w:t>
      </w:r>
    </w:p>
    <w:p>
      <w:pPr>
        <w:keepNext w:val="0"/>
        <w:pageBreakBefore w:val="0"/>
        <w:widowControl/>
        <w:spacing w:line="360" w:lineRule="auto" w:before="0" w:after="0"/>
        <w:ind w:firstLine="340"/>
        <w:jc w:val="both"/>
      </w:pPr>
      <w:r>
        <w:rPr>
          <w:rFonts w:ascii="Times New Roman" w:hAnsi="Times New Roman"/>
          <w:b w:val="0"/>
          <w:color w:val="000000"/>
          <w:sz w:val="24"/>
        </w:rPr>
        <w:t>La compilazione del feedback è stata verificata con un token valido e cinque risposte. Nel caso di accettazione email simulata, l’API ha restituito 202, salvato i dati e impostato inviato=True. Il riutilizzo del token o un token inesistente hanno prodotto 400; la riapertura del link nel browser ha mostrato il messaggio di invalidità. Nel test con errore del trasporto email, invece, la risposta è stata 500: i dati sono rimasti salvati, ma inviato=False. Questo comportamento delimita il risultato positivo e segnala la dipendenza tra completamento e comunicazione [14, prova 3.13].</w:t>
      </w:r>
    </w:p>
    <w:p>
      <w:pPr>
        <w:keepNext w:val="0"/>
        <w:pageBreakBefore w:val="0"/>
        <w:widowControl/>
        <w:spacing w:line="360" w:lineRule="auto" w:before="0" w:after="0"/>
        <w:ind w:firstLine="340"/>
        <w:jc w:val="both"/>
      </w:pPr>
      <w:r>
        <w:rPr>
          <w:rFonts w:ascii="Times New Roman" w:hAnsi="Times New Roman"/>
          <w:sz w:val="24"/>
        </w:rPr>
        <w:t>Il collaudo Vimeo del 3–4 ottobre ha completato un upload reale dal profilo trainer e verificato disponibilità e transcodifica di un video di 116 secondi [20]. La prova ha richiesto di accettare anche la risposta HTTP 200 del provider, oltre a 201. Nove controlli con risposte simulate hanno poi verificato permessi, input e gestione degli errori: non equivalgono a nove upload reali. Per la scheda cliente è stato adottato il player ufficiale al posto della dipendenza da oEmbed. Dopo la pubblicazione autorizzata del solo video di prova, play, avanzamento e pausa sono documentati nel player separato; la riproduzione incorporata è attestata da una verifica manuale riportata nel resoconto. Il browser automatico mostrava ancora un riquadro vuoto, la cui causa non è stata determinata. Non sono provati fullscreen, dispositivi mobili, altri player dell’applicazione o recupero da interruzioni. Risultati API e tracce sono raccolti in docs/prove-vimeo [20].</w:t>
      </w:r>
    </w:p>
    <w:p>
      <w:pPr>
        <w:pStyle w:val="Heading2"/>
        <w:keepNext/>
        <w:pageBreakBefore/>
        <w:widowControl/>
        <w:spacing w:line="360" w:lineRule="auto" w:before="0" w:after="160"/>
        <w:ind w:firstLine="0"/>
        <w:jc w:val="left"/>
      </w:pPr>
      <w:r>
        <w:rPr>
          <w:rFonts w:ascii="Times New Roman" w:hAnsi="Times New Roman"/>
          <w:b/>
          <w:color w:val="000000"/>
          <w:sz w:val="24"/>
        </w:rPr>
        <w:t>3.5 Verifiche dell’infrastruttura e delle automazioni</w:t>
      </w:r>
    </w:p>
    <w:p>
      <w:pPr>
        <w:keepNext w:val="0"/>
        <w:pageBreakBefore w:val="0"/>
        <w:widowControl/>
        <w:spacing w:line="360" w:lineRule="auto" w:before="0" w:after="0"/>
        <w:ind w:firstLine="340"/>
        <w:jc w:val="both"/>
      </w:pPr>
      <w:r>
        <w:rPr>
          <w:rFonts w:ascii="Times New Roman" w:hAnsi="Times New Roman"/>
          <w:b w:val="0"/>
          <w:color w:val="000000"/>
          <w:sz w:val="24"/>
        </w:rPr>
        <w:t>La campagna Docker ha osservato Nginx, backend, MySQL, Redis, worker e Beat in esecuzione, documentandoli in docker-status.txt. Le riprese del lavoro hanno riutilizzato account e schede del volume QA; i salvataggi del browser sono stati riletti in MySQL. Non è stata osservata perdita dei dati utilizzati, ma non sono stati provati ripristino di backup o integrità dopo guasti. La persistenza del volume, coerente con la separazione descritta da Compose [9], non risolve da sola le responsabilità di recupero dell’approccio IaaS.</w:t>
      </w:r>
    </w:p>
    <w:p>
      <w:pPr>
        <w:keepNext w:val="0"/>
        <w:pageBreakBefore w:val="0"/>
        <w:widowControl/>
        <w:spacing w:line="360" w:lineRule="auto" w:before="0" w:after="0"/>
        <w:ind w:firstLine="340"/>
        <w:jc w:val="both"/>
      </w:pPr>
      <w:r>
        <w:rPr>
          <w:rFonts w:ascii="Times New Roman" w:hAnsi="Times New Roman"/>
          <w:sz w:val="24"/>
        </w:rPr>
        <w:t>L’iniziale errore del task feedback è stato corretto e verificato con 24 controlli diretti su MySQL [14]. La successiva prova ha completato il percorso Beat → Redis → worker → task applicativo → risultato SUCCESS in Redis, senza invocazione manuale del task [19]. Una pianificazione singola su coda dedicata e un worker con concorrenza uno hanno prodotto esattamente due inviti per le fixture dovute, settimanale e mensile senza scheda, escludendo feedback futuri o già compilati. I dieci controlli sono superati; log Beat, log worker e outbox correlano invio, esecuzione ed effetti. I circa 0,183 secondi registrati dal worker includono il trasporto email simulato, non la consegna MailerSend. Questa evidenza collega l’architettura asincrona del Capitolo 2 al comportamento osservato: risultano verificati scheduling e processamento del caso, non periodicità prolungata, retry o recupero dai guasti. La pianificazione è stata rimossa esplicitamente; il contatore dello scheduler non è usato come prova dell’esecuzione [19].</w:t>
      </w:r>
    </w:p>
    <w:p>
      <w:pPr>
        <w:keepNext w:val="0"/>
        <w:pageBreakBefore w:val="0"/>
        <w:widowControl/>
        <w:spacing w:line="360" w:lineRule="auto" w:before="0" w:after="0"/>
        <w:ind w:firstLine="340"/>
        <w:jc w:val="both"/>
      </w:pPr>
      <w:r>
        <w:rPr>
          <w:rFonts w:ascii="Times New Roman" w:hAnsi="Times New Roman"/>
          <w:b w:val="0"/>
          <w:color w:val="000000"/>
          <w:sz w:val="24"/>
        </w:rPr>
        <w:t>Sono state inoltre costruite entrambe le immagini del progetto. La build backend, inizialmente bloccata da una dipendenza non utilizzata, è riuscita dopo la sua rimozione; il frontend ha superato la compilazione dopo la correzione di un import TypeScript relativo a PayPal. I controlli finali attestano coerenza delle dipendenze Python, controllo Django superato e risposta HTTP 200 di Nginx. Questi risultati non equivalgono al collaudo integrale del Compose originale con configurazioni e fornitori reali [14, sezione 5].</w:t>
      </w:r>
    </w:p>
    <w:p>
      <w:pPr>
        <w:keepNext w:val="0"/>
        <w:pageBreakBefore w:val="0"/>
        <w:widowControl/>
        <w:spacing w:line="360" w:lineRule="auto" w:before="0" w:after="0"/>
        <w:ind w:firstLine="340"/>
        <w:jc w:val="both"/>
      </w:pPr>
      <w:r>
        <w:rPr>
          <w:rFonts w:ascii="Times New Roman" w:hAnsi="Times New Roman"/>
          <w:sz w:val="24"/>
        </w:rPr>
        <w:t>Restano warning e vulnerabilità segnalate dalle dipendenze; npm ci ne riportava 82, senza un successivo audit generale. Le prove funzionali non attestano sicurezza complessiva o recupero dal guasto della VM. Il riavvio osservato dei servizi QA dimostra la ripresa dell’ambiente nei casi descritti, non l’eliminazione del Single Point of Failure dell’host. La successiva campagna di carico quantifica le prestazioni di due percorsi applicativi, senza misurare la disponibilità continuativa del servizio [15].</w:t>
      </w:r>
    </w:p>
    <w:p>
      <w:pPr>
        <w:pStyle w:val="Heading2"/>
        <w:keepNext/>
        <w:pageBreakBefore/>
        <w:widowControl/>
        <w:spacing w:line="360" w:lineRule="auto" w:before="0" w:after="160"/>
        <w:ind w:firstLine="0"/>
        <w:jc w:val="left"/>
      </w:pPr>
      <w:r>
        <w:rPr>
          <w:rFonts w:ascii="Times New Roman" w:hAnsi="Times New Roman"/>
          <w:b/>
          <w:color w:val="000000"/>
          <w:sz w:val="24"/>
        </w:rPr>
        <w:t>3.6 Valutazione prestazionale e comportamento sotto carico</w:t>
      </w:r>
    </w:p>
    <w:p>
      <w:pPr>
        <w:keepNext w:val="0"/>
        <w:pageBreakBefore w:val="0"/>
        <w:widowControl/>
        <w:spacing w:line="360" w:lineRule="auto" w:before="0" w:after="0"/>
        <w:ind w:firstLine="340"/>
        <w:jc w:val="both"/>
      </w:pPr>
      <w:r>
        <w:rPr>
          <w:rFonts w:ascii="Times New Roman" w:hAnsi="Times New Roman"/>
          <w:b w:val="0"/>
          <w:color w:val="000000"/>
          <w:sz w:val="24"/>
        </w:rPr>
        <w:t>La campagna del 3 ottobre 2026 ha misurato due percorsi reali attraverso Nginx: consultazione autenticata della scheda e login con emissione JWT. Sette fasi sequenziali di 30 secondi nominali hanno prodotto 8.409 risposte HTTP 200, senza errori nei controlli previsti. Il p95 indica la latenza entro cui termina il 95% delle richieste; la portata conta le risposte completate al secondo, includendo lo smaltimento finale della fase. Le misure riguardano un account e una scheda di un solo esercizio, con risposta JSON di 479 byte; riscaldamenti e controllo finale sono esclusi dalla tabella [15].</w:t>
      </w:r>
    </w:p>
    <w:p>
      <w:pPr>
        <w:keepNext/>
        <w:pageBreakBefore w:val="0"/>
        <w:widowControl/>
        <w:spacing w:line="360" w:lineRule="auto" w:before="0" w:after="0"/>
        <w:ind w:firstLine="0"/>
        <w:jc w:val="left"/>
      </w:pPr>
      <w:r>
        <w:rPr>
          <w:rFonts w:ascii="Times New Roman" w:hAnsi="Times New Roman"/>
          <w:b w:val="0"/>
          <w:color w:val="000000"/>
          <w:sz w:val="20"/>
        </w:rPr>
        <w:t>Tabella 3.2 – Portata e latenza per fase di carico [15].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644"/>
        <w:gridCol w:w="1701"/>
        <w:gridCol w:w="1701"/>
        <w:gridCol w:w="1701"/>
      </w:tblGrid>
      <w:tr>
        <w:trPr>
          <w:cantSplit/>
          <w:tblHeader/>
        </w:trPr>
        <w:tc>
          <w:tcPr>
            <w:tcW w:type="dxa" w:w="1757"/>
            <w:shd w:fill="EDEDED"/>
          </w:tcPr>
          <w:p>
            <w:pPr>
              <w:keepNext/>
              <w:pageBreakBefore w:val="0"/>
              <w:widowControl/>
              <w:spacing w:line="360" w:lineRule="auto" w:before="0" w:after="0"/>
              <w:ind w:firstLine="0"/>
              <w:jc w:val="left"/>
            </w:pPr>
            <w:r>
              <w:rPr>
                <w:rFonts w:ascii="Times New Roman" w:hAnsi="Times New Roman"/>
                <w:b/>
                <w:color w:val="000000"/>
                <w:sz w:val="24"/>
              </w:rPr>
              <w:t>Operazione</w:t>
            </w:r>
          </w:p>
        </w:tc>
        <w:tc>
          <w:tcPr>
            <w:tcW w:type="dxa" w:w="1644"/>
            <w:shd w:fill="EDEDED"/>
          </w:tcPr>
          <w:p>
            <w:pPr>
              <w:keepNext/>
              <w:pageBreakBefore w:val="0"/>
              <w:widowControl/>
              <w:spacing w:line="360" w:lineRule="auto" w:before="0" w:after="0"/>
              <w:ind w:firstLine="0"/>
              <w:jc w:val="center"/>
            </w:pPr>
            <w:r>
              <w:rPr>
                <w:rFonts w:ascii="Times New Roman" w:hAnsi="Times New Roman"/>
                <w:b/>
                <w:color w:val="000000"/>
                <w:sz w:val="24"/>
              </w:rPr>
              <w:t>Utenti virtuali</w:t>
            </w:r>
          </w:p>
        </w:tc>
        <w:tc>
          <w:tcPr>
            <w:tcW w:type="dxa" w:w="1701"/>
            <w:shd w:fill="EDEDED"/>
          </w:tcPr>
          <w:p>
            <w:pPr>
              <w:keepNext/>
              <w:pageBreakBefore w:val="0"/>
              <w:widowControl/>
              <w:spacing w:line="360" w:lineRule="auto" w:before="0" w:after="0"/>
              <w:ind w:firstLine="0"/>
              <w:jc w:val="center"/>
            </w:pPr>
            <w:r>
              <w:rPr>
                <w:rFonts w:ascii="Times New Roman" w:hAnsi="Times New Roman"/>
                <w:b/>
                <w:color w:val="000000"/>
                <w:sz w:val="24"/>
              </w:rPr>
              <w:t>Richieste/s</w:t>
            </w:r>
          </w:p>
        </w:tc>
        <w:tc>
          <w:tcPr>
            <w:tcW w:type="dxa" w:w="1701"/>
            <w:shd w:fill="EDEDED"/>
          </w:tcPr>
          <w:p>
            <w:pPr>
              <w:keepNext/>
              <w:pageBreakBefore w:val="0"/>
              <w:widowControl/>
              <w:spacing w:line="360" w:lineRule="auto" w:before="0" w:after="0"/>
              <w:ind w:firstLine="0"/>
              <w:jc w:val="center"/>
            </w:pPr>
            <w:r>
              <w:rPr>
                <w:rFonts w:ascii="Times New Roman" w:hAnsi="Times New Roman"/>
                <w:b/>
                <w:color w:val="000000"/>
                <w:sz w:val="24"/>
              </w:rPr>
              <w:t>p50 (ms)</w:t>
            </w:r>
          </w:p>
        </w:tc>
        <w:tc>
          <w:tcPr>
            <w:tcW w:type="dxa" w:w="1701"/>
            <w:shd w:fill="EDEDED"/>
          </w:tcPr>
          <w:p>
            <w:pPr>
              <w:keepNext/>
              <w:pageBreakBefore w:val="0"/>
              <w:widowControl/>
              <w:spacing w:line="360" w:lineRule="auto" w:before="0" w:after="0"/>
              <w:ind w:firstLine="0"/>
              <w:jc w:val="center"/>
            </w:pPr>
            <w:r>
              <w:rPr>
                <w:rFonts w:ascii="Times New Roman" w:hAnsi="Times New Roman"/>
                <w:b/>
                <w:color w:val="000000"/>
                <w:sz w:val="24"/>
              </w:rPr>
              <w:t>p95 (ms)</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1</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46,69</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20,56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27,20</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5</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71,71</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64,56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114,84</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10</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65,96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149,76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260,86</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20</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69,52</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284,38</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500,68</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Login</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1</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4,56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205,34</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297,27</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Login</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5</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10,18</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433,39</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778,99</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Login</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10</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9,93</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967,03</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1.681,13</w:t>
            </w:r>
          </w:p>
        </w:tc>
      </w:tr>
    </w:tbl>
    <w:p>
      <w:pPr>
        <w:keepNext w:val="0"/>
        <w:pageBreakBefore w:val="0"/>
        <w:widowControl/>
        <w:spacing w:line="360" w:lineRule="auto" w:before="0" w:after="0"/>
        <w:ind w:firstLine="340"/>
        <w:jc w:val="both"/>
      </w:pPr>
      <w:r>
        <w:rPr>
          <w:rFonts w:ascii="Times New Roman" w:hAnsi="Times New Roman"/>
          <w:b w:val="0"/>
          <w:color w:val="000000"/>
          <w:sz w:val="24"/>
        </w:rPr>
        <w:t>Il dimensionamento del backend aiuta a interpretare il plateau: la configurazione QA prevede due worker Gunicorn con due thread ciascuno, ossia quattro thread disponibili per elaborare richieste applicative [16]. Quando questi sono occupati, le richieste eccedenti attendono lungo il percorso Nginx–Gunicorn. La portata di lettura resta fra 65,96 e 71,71 richieste/s a fronte del p95 crescente fino a 500,68 ms: un comportamento coerente con saturazione e accodamento, anziché con un errore casuale. I dati non localizzano però la coda nel socket né dimostrano che i quattro thread siano l’unica causa, poiché mancano profilazione e confronto tra configurazioni. Come discusso nel Capitolo 2, aumentare la concorrenza applicativa richiede risorse disponibili sulla VM e non equivale a scalare indipendentemente i servizi.</w:t>
      </w:r>
    </w:p>
    <w:p>
      <w:pPr>
        <w:keepNext w:val="0"/>
        <w:pageBreakBefore/>
        <w:widowControl/>
        <w:spacing w:line="360" w:lineRule="auto" w:before="0" w:after="0"/>
        <w:ind w:firstLine="340"/>
        <w:jc w:val="both"/>
      </w:pPr>
      <w:r>
        <w:rPr>
          <w:rFonts w:ascii="Times New Roman" w:hAnsi="Times New Roman"/>
          <w:b w:val="0"/>
          <w:color w:val="000000"/>
          <w:sz w:val="24"/>
        </w:rPr>
        <w:t>La tabella delle risorse riporta medie CPU e massimi RAM campionati: cinque campioni interni a ciascuna fase, non picchi continui. Il 100% CPU corrisponde circa a un processore logico; i container condividono l’host e non hanno quote individuali nel Compose utilizzato [15].</w:t>
      </w:r>
    </w:p>
    <w:p>
      <w:pPr>
        <w:keepNext/>
        <w:pageBreakBefore w:val="0"/>
        <w:widowControl/>
        <w:spacing w:line="360" w:lineRule="auto" w:before="0" w:after="0"/>
        <w:ind w:firstLine="0"/>
        <w:jc w:val="left"/>
      </w:pPr>
      <w:r>
        <w:rPr>
          <w:rFonts w:ascii="Times New Roman" w:hAnsi="Times New Roman"/>
          <w:b w:val="0"/>
          <w:color w:val="000000"/>
          <w:sz w:val="20"/>
        </w:rPr>
        <w:t>Tabella 3.3 – Risorse campionate per fase [15].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644"/>
        <w:gridCol w:w="1701"/>
        <w:gridCol w:w="1701"/>
        <w:gridCol w:w="1701"/>
      </w:tblGrid>
      <w:tr>
        <w:trPr>
          <w:cantSplit/>
          <w:tblHeader/>
        </w:trPr>
        <w:tc>
          <w:tcPr>
            <w:tcW w:type="dxa" w:w="1757"/>
            <w:shd w:fill="EDEDED"/>
          </w:tcPr>
          <w:p>
            <w:pPr>
              <w:keepNext/>
              <w:pageBreakBefore w:val="0"/>
              <w:widowControl/>
              <w:spacing w:line="360" w:lineRule="auto" w:before="0" w:after="0"/>
              <w:ind w:firstLine="0"/>
              <w:jc w:val="left"/>
            </w:pPr>
            <w:r>
              <w:rPr>
                <w:rFonts w:ascii="Times New Roman" w:hAnsi="Times New Roman"/>
                <w:b/>
                <w:color w:val="000000"/>
                <w:sz w:val="24"/>
              </w:rPr>
              <w:t>Fase</w:t>
            </w:r>
          </w:p>
        </w:tc>
        <w:tc>
          <w:tcPr>
            <w:tcW w:type="dxa" w:w="1644"/>
            <w:shd w:fill="EDEDED"/>
          </w:tcPr>
          <w:p>
            <w:pPr>
              <w:keepNext/>
              <w:pageBreakBefore w:val="0"/>
              <w:widowControl/>
              <w:spacing w:line="360" w:lineRule="auto" w:before="0" w:after="0"/>
              <w:ind w:firstLine="0"/>
              <w:jc w:val="center"/>
            </w:pPr>
            <w:r>
              <w:rPr>
                <w:rFonts w:ascii="Times New Roman" w:hAnsi="Times New Roman"/>
                <w:b/>
                <w:color w:val="000000"/>
                <w:sz w:val="24"/>
              </w:rPr>
              <w:t>CPU BE media (%)</w:t>
            </w:r>
          </w:p>
        </w:tc>
        <w:tc>
          <w:tcPr>
            <w:tcW w:type="dxa" w:w="1701"/>
            <w:shd w:fill="EDEDED"/>
          </w:tcPr>
          <w:p>
            <w:pPr>
              <w:keepNext/>
              <w:pageBreakBefore w:val="0"/>
              <w:widowControl/>
              <w:spacing w:line="360" w:lineRule="auto" w:before="0" w:after="0"/>
              <w:ind w:firstLine="0"/>
              <w:jc w:val="center"/>
            </w:pPr>
            <w:r>
              <w:rPr>
                <w:rFonts w:ascii="Times New Roman" w:hAnsi="Times New Roman"/>
                <w:b/>
                <w:color w:val="000000"/>
                <w:sz w:val="24"/>
              </w:rPr>
              <w:t>CPU DB media (%)</w:t>
            </w:r>
          </w:p>
        </w:tc>
        <w:tc>
          <w:tcPr>
            <w:tcW w:type="dxa" w:w="1701"/>
            <w:shd w:fill="EDEDED"/>
          </w:tcPr>
          <w:p>
            <w:pPr>
              <w:keepNext/>
              <w:pageBreakBefore w:val="0"/>
              <w:widowControl/>
              <w:spacing w:line="360" w:lineRule="auto" w:before="0" w:after="0"/>
              <w:ind w:firstLine="0"/>
              <w:jc w:val="center"/>
            </w:pPr>
            <w:r>
              <w:rPr>
                <w:rFonts w:ascii="Times New Roman" w:hAnsi="Times New Roman"/>
                <w:b/>
                <w:color w:val="000000"/>
                <w:sz w:val="24"/>
              </w:rPr>
              <w:t>RAM BE max (MiB)</w:t>
            </w:r>
          </w:p>
        </w:tc>
        <w:tc>
          <w:tcPr>
            <w:tcW w:type="dxa" w:w="1701"/>
            <w:shd w:fill="EDEDED"/>
          </w:tcPr>
          <w:p>
            <w:pPr>
              <w:keepNext/>
              <w:pageBreakBefore w:val="0"/>
              <w:widowControl/>
              <w:spacing w:line="360" w:lineRule="auto" w:before="0" w:after="0"/>
              <w:ind w:firstLine="0"/>
              <w:jc w:val="center"/>
            </w:pPr>
            <w:r>
              <w:rPr>
                <w:rFonts w:ascii="Times New Roman" w:hAnsi="Times New Roman"/>
                <w:b/>
                <w:color w:val="000000"/>
                <w:sz w:val="24"/>
              </w:rPr>
              <w:t>RAM DB max (MiB)</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 1</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76,18</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16,70</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162,7</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467,2</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 5</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218,44</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29,95</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166,7</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468,1</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 10</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223,18</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29,56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167,1</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468,4</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Lettura 20</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223,45</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29,26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167,0</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468,2</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Login 1</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91,93</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5,92</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167,0</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469,1</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Login 5</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346,29</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9,98</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167,0</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469,1</w:t>
            </w:r>
          </w:p>
        </w:tc>
      </w:tr>
      <w:tr>
        <w:trPr>
          <w:cantSplit/>
        </w:trPr>
        <w:tc>
          <w:tcPr>
            <w:tcW w:type="dxa" w:w="1757"/>
          </w:tcPr>
          <w:p>
            <w:pPr>
              <w:keepNext w:val="0"/>
              <w:pageBreakBefore w:val="0"/>
              <w:widowControl/>
              <w:spacing w:line="360" w:lineRule="auto" w:before="0" w:after="0"/>
              <w:ind w:firstLine="0"/>
              <w:jc w:val="left"/>
            </w:pPr>
            <w:r>
              <w:rPr>
                <w:rFonts w:ascii="Times New Roman" w:hAnsi="Times New Roman"/>
                <w:b w:val="0"/>
                <w:color w:val="000000"/>
                <w:sz w:val="24"/>
              </w:rPr>
              <w:t>Login 10</w:t>
            </w:r>
          </w:p>
        </w:tc>
        <w:tc>
          <w:tcPr>
            <w:tcW w:type="dxa" w:w="1644"/>
          </w:tcPr>
          <w:p>
            <w:pPr>
              <w:keepNext w:val="0"/>
              <w:pageBreakBefore w:val="0"/>
              <w:widowControl/>
              <w:spacing w:line="360" w:lineRule="auto" w:before="0" w:after="0"/>
              <w:ind w:firstLine="0"/>
              <w:jc w:val="center"/>
            </w:pPr>
            <w:r>
              <w:rPr>
                <w:rFonts w:ascii="Times New Roman" w:hAnsi="Times New Roman"/>
                <w:b w:val="0"/>
                <w:color w:val="000000"/>
                <w:sz w:val="24"/>
              </w:rPr>
              <w:t>371,51</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10,76</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166,9</w:t>
            </w:r>
          </w:p>
        </w:tc>
        <w:tc>
          <w:tcPr>
            <w:tcW w:type="dxa" w:w="1701"/>
          </w:tcPr>
          <w:p>
            <w:pPr>
              <w:keepNext w:val="0"/>
              <w:pageBreakBefore w:val="0"/>
              <w:widowControl/>
              <w:spacing w:line="360" w:lineRule="auto" w:before="0" w:after="0"/>
              <w:ind w:firstLine="0"/>
              <w:jc w:val="center"/>
            </w:pPr>
            <w:r>
              <w:rPr>
                <w:rFonts w:ascii="Times New Roman" w:hAnsi="Times New Roman"/>
                <w:b w:val="0"/>
                <w:color w:val="000000"/>
                <w:sz w:val="24"/>
              </w:rPr>
              <w:t>469,5</w:t>
            </w:r>
          </w:p>
        </w:tc>
      </w:tr>
    </w:tbl>
    <w:p>
      <w:pPr>
        <w:keepNext/>
        <w:pageBreakBefore w:val="0"/>
        <w:widowControl/>
        <w:spacing w:line="360" w:lineRule="auto" w:before="0" w:after="0"/>
        <w:ind w:firstLine="0"/>
        <w:jc w:val="left"/>
      </w:pPr>
      <w:r>
        <w:rPr>
          <w:rFonts w:ascii="Times New Roman" w:hAnsi="Times New Roman"/>
          <w:b w:val="0"/>
          <w:color w:val="000000"/>
          <w:sz w:val="20"/>
        </w:rPr>
        <w:t>BE: backend; DB: MySQL. I massimi RAM sono valori osservati nei campioni.</w:t>
      </w:r>
    </w:p>
    <w:p>
      <w:pPr>
        <w:keepNext w:val="0"/>
        <w:pageBreakBefore w:val="0"/>
        <w:widowControl/>
        <w:spacing w:line="360" w:lineRule="auto" w:before="0" w:after="0"/>
        <w:ind w:firstLine="340"/>
        <w:jc w:val="both"/>
      </w:pPr>
      <w:r>
        <w:rPr>
          <w:rFonts w:ascii="Times New Roman" w:hAnsi="Times New Roman"/>
          <w:b w:val="0"/>
          <w:color w:val="000000"/>
          <w:sz w:val="24"/>
        </w:rPr>
        <w:t>La divergenza tra login e lettura individua due profili di costo. Nelle letture il massimo CPU campionato del backend è 227,35%, con CPU media MySQL inferiore al 30%; il payload ridotto implica poca serializzazione, ma i dati non bastano a classificare il percorso come prevalentemente I/O bound. Con dieci utenti il login raggiunge invece 371,51% CPU media e 386,84% massima, circa 3,72 processori logici mediamente impiegati, e appena 9,93 richieste/s. La verifica delle password Django usa normalmente PBKDF2-SHA256, senza override degli hashers nei file di configurazione esaminati: il lavoro crittografico iterato aumenta intenzionalmente il costo dei tentativi di indovinare una password [17]. È una spiegazione plausibile del profilo più intensivo in CPU e della portata circa sette volte inferiore alla lettura; il test misura però l’intero login, inclusi database e token, senza isolare il contributo dell’hashing. Ridurne arbitrariamente il costo per aumentare la portata comprometterebbe la finalità di protezione.</w:t>
      </w:r>
    </w:p>
    <w:p>
      <w:pPr>
        <w:keepNext w:val="0"/>
        <w:pageBreakBefore/>
        <w:widowControl/>
        <w:spacing w:line="360" w:lineRule="auto" w:before="0" w:after="0"/>
        <w:ind w:firstLine="340"/>
        <w:jc w:val="both"/>
      </w:pPr>
      <w:r>
        <w:rPr>
          <w:rFonts w:ascii="Times New Roman" w:hAnsi="Times New Roman"/>
          <w:b w:val="0"/>
          <w:color w:val="000000"/>
          <w:sz w:val="24"/>
        </w:rPr>
        <w:t>Il collegamento con la Site Reliability Engineering del Capitolo 1 rende esplicito il criterio di valutazione [5]. Si assume come SLI il p95 della latenza per operazione, misurato dal client fino alla ricezione completa della risposta. A fini di analisi si propongono due SLO ipotetici: p95 &lt; 200 ms per la lettura e p95 &lt; 1.000 ms per il login. Le letture rispettano la soglia con uno e cinque utenti virtuali, superandola con dieci e venti; il login la rispetta con uno e cinque, superandola con dieci. Lo zero errori non equivale quindi al rispetto dell’obiettivo di latenza. Si tratta di soglie applicate a posteriori alle brevi fasi del test, non di SLA concordati o di conformità su una finestra di esercizio. Il controllo finale di lettura torna a p95 27,68 ms, vicino ai 27,20 ms iniziali, senza degrado persistente evidente nei dieci secondi osservati.</w:t>
      </w:r>
    </w:p>
    <w:p>
      <w:pPr>
        <w:keepNext w:val="0"/>
        <w:pageBreakBefore w:val="0"/>
        <w:widowControl/>
        <w:spacing w:line="360" w:lineRule="auto" w:before="0" w:after="0"/>
        <w:ind w:firstLine="340"/>
        <w:jc w:val="both"/>
      </w:pPr>
      <w:r>
        <w:rPr>
          <w:rFonts w:ascii="Times New Roman" w:hAnsi="Times New Roman"/>
          <w:b w:val="0"/>
          <w:color w:val="000000"/>
          <w:sz w:val="24"/>
        </w:rPr>
        <w:t>Il modello closed loop prevede una nuova richiesta subito dopo ogni risposta, senza think time: venti utenti virtuali producono una pressione continua diversa da quella di venti persone che leggono con pause. Lo stesso traffico potrebbe provenire da una popolazione umana maggiore, ma quantificarla in centinaia richiederebbe ipotesi sulle pause e sui percorsi; inoltre il rallentamento riduce automaticamente gli arrivi, diversamente da un carico a frequenza imposta. Generatore, WSL2 e Docker Desktop condividono l’Intel Core i7-8550U con quattro core fisici e otto processori logici: la competizione locale limita la trasferibilità dei valori alla VM di produzione, anche se il generatore impiega al massimo il 4,76% medio di una CPU. Fasi brevi, cache calde, singolo account, assenza di WAN/TLS, task Celery e servizi esterni circoscrivono la capacità osservata. I risultati motivano una futura valutazione del dimensionamento e, nell’evoluzione PaaS disaccoppiata, della separazione delle risorse; non dimostrano che cambiare hosting aumenti automaticamente la portata.</w:t>
      </w:r>
    </w:p>
    <w:p>
      <w:pPr>
        <w:pStyle w:val="Heading2"/>
        <w:keepNext/>
        <w:pageBreakBefore/>
        <w:widowControl/>
        <w:spacing w:line="360" w:lineRule="auto" w:before="0" w:after="160"/>
        <w:ind w:firstLine="0"/>
        <w:jc w:val="left"/>
      </w:pPr>
      <w:r>
        <w:rPr>
          <w:rFonts w:ascii="Times New Roman" w:hAnsi="Times New Roman"/>
          <w:b/>
          <w:sz w:val="24"/>
        </w:rPr>
        <w:t>3.7 Discussione dei risultati e limiti</w:t>
      </w:r>
    </w:p>
    <w:p>
      <w:pPr>
        <w:keepNext w:val="0"/>
        <w:pageBreakBefore w:val="0"/>
        <w:widowControl/>
        <w:spacing w:line="360" w:lineRule="auto" w:before="0" w:after="0"/>
        <w:ind w:firstLine="340"/>
        <w:jc w:val="both"/>
      </w:pPr>
      <w:r>
        <w:rPr>
          <w:rFonts w:ascii="Times New Roman" w:hAnsi="Times New Roman"/>
          <w:sz w:val="24"/>
        </w:rPr>
        <w:t>La suite API iniziale comprendeva 37 casi su MySQL, con 31 PASS e 6 FAIL. I fallimenti sono stati risolti e verificati con regressioni mirate; l’intera suite iniziale non è stata rieseguita per sostituire i report storici. I conteggi delle regressioni non vengono quindi sommati ai casi originari per produrre una percentuale complessiva di successo. La tabella sintetizza l’estensione degli esiti, senza equiparare controlli con finalità differenti [14].</w:t>
      </w:r>
    </w:p>
    <w:p>
      <w:pPr>
        <w:keepNext/>
        <w:pageBreakBefore w:val="0"/>
        <w:widowControl/>
        <w:spacing w:line="360" w:lineRule="auto" w:before="0" w:after="0"/>
        <w:ind w:firstLine="0"/>
        <w:jc w:val="left"/>
      </w:pPr>
      <w:r>
        <w:rPr>
          <w:rFonts w:ascii="Times New Roman" w:hAnsi="Times New Roman"/>
          <w:sz w:val="24"/>
        </w:rPr>
        <w:t>Tabella 3.4 – Sintesi dei risultati e del loro perimetro.</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84"/>
        <w:gridCol w:w="6520"/>
      </w:tblGrid>
      <w:tr>
        <w:trPr>
          <w:cantSplit/>
          <w:tblHeader/>
        </w:trPr>
        <w:tc>
          <w:tcPr>
            <w:tcW w:type="dxa" w:w="1984"/>
            <w:shd w:fill="EDEDED"/>
          </w:tcPr>
          <w:p>
            <w:pPr>
              <w:keepNext/>
              <w:pageBreakBefore w:val="0"/>
              <w:widowControl/>
              <w:spacing w:line="360" w:lineRule="auto" w:before="0" w:after="0"/>
              <w:ind w:firstLine="0"/>
              <w:jc w:val="left"/>
            </w:pPr>
            <w:r>
              <w:rPr>
                <w:rFonts w:ascii="Times New Roman" w:hAnsi="Times New Roman"/>
                <w:b/>
                <w:color w:val="000000"/>
                <w:sz w:val="24"/>
              </w:rPr>
              <w:t>Ambito</w:t>
            </w:r>
          </w:p>
        </w:tc>
        <w:tc>
          <w:tcPr>
            <w:tcW w:type="dxa" w:w="6520"/>
            <w:shd w:fill="EDEDED"/>
          </w:tcPr>
          <w:p>
            <w:pPr>
              <w:keepNext/>
              <w:pageBreakBefore w:val="0"/>
              <w:widowControl/>
              <w:spacing w:line="360" w:lineRule="auto" w:before="0" w:after="0"/>
              <w:ind w:firstLine="0"/>
              <w:jc w:val="left"/>
            </w:pPr>
            <w:r>
              <w:rPr>
                <w:rFonts w:ascii="Times New Roman" w:hAnsi="Times New Roman"/>
                <w:b/>
                <w:color w:val="000000"/>
                <w:sz w:val="24"/>
              </w:rPr>
              <w:t>Risultato e limite</w:t>
            </w:r>
          </w:p>
        </w:tc>
      </w:tr>
      <w:tr>
        <w:trPr>
          <w:cantSplit/>
        </w:trPr>
        <w:tc>
          <w:tcPr>
            <w:tcW w:type="dxa" w:w="1984"/>
          </w:tcPr>
          <w:p>
            <w:pPr>
              <w:keepNext w:val="0"/>
              <w:pageBreakBefore w:val="0"/>
              <w:widowControl/>
              <w:spacing w:line="360" w:lineRule="auto" w:before="0" w:after="0"/>
              <w:ind w:firstLine="0"/>
              <w:jc w:val="left"/>
            </w:pPr>
            <w:r>
              <w:rPr>
                <w:rFonts w:ascii="Times New Roman" w:hAnsi="Times New Roman"/>
                <w:b w:val="0"/>
                <w:color w:val="000000"/>
                <w:sz w:val="24"/>
              </w:rPr>
              <w:t>Account e schede</w:t>
            </w:r>
          </w:p>
        </w:tc>
        <w:tc>
          <w:tcPr>
            <w:tcW w:type="dxa" w:w="6520"/>
          </w:tcPr>
          <w:p>
            <w:pPr>
              <w:keepNext w:val="0"/>
              <w:pageBreakBefore w:val="0"/>
              <w:widowControl/>
              <w:spacing w:line="360" w:lineRule="auto" w:before="0" w:after="0"/>
              <w:ind w:firstLine="0"/>
              <w:jc w:val="left"/>
            </w:pPr>
            <w:r>
              <w:rPr>
                <w:rFonts w:ascii="Times New Roman" w:hAnsi="Times New Roman"/>
                <w:b w:val="0"/>
                <w:color w:val="000000"/>
                <w:sz w:val="24"/>
              </w:rPr>
              <w:t>Casi API e browser positivi; regressioni mirate superate. Copertura non esaustiva.</w:t>
            </w:r>
          </w:p>
        </w:tc>
      </w:tr>
      <w:tr>
        <w:trPr>
          <w:cantSplit/>
        </w:trPr>
        <w:tc>
          <w:tcPr>
            <w:tcW w:type="dxa" w:w="1984"/>
          </w:tcPr>
          <w:p>
            <w:pPr>
              <w:keepNext w:val="0"/>
              <w:pageBreakBefore w:val="0"/>
              <w:widowControl/>
              <w:spacing w:line="360" w:lineRule="auto" w:before="0" w:after="0"/>
              <w:ind w:firstLine="0"/>
              <w:jc w:val="left"/>
            </w:pPr>
            <w:r>
              <w:rPr>
                <w:rFonts w:ascii="Times New Roman" w:hAnsi="Times New Roman"/>
                <w:b w:val="0"/>
                <w:color w:val="000000"/>
                <w:sz w:val="24"/>
              </w:rPr>
              <w:t>PDF</w:t>
            </w:r>
          </w:p>
        </w:tc>
        <w:tc>
          <w:tcPr>
            <w:tcW w:type="dxa" w:w="6520"/>
          </w:tcPr>
          <w:p>
            <w:pPr>
              <w:keepNext w:val="0"/>
              <w:pageBreakBefore w:val="0"/>
              <w:widowControl/>
              <w:spacing w:line="360" w:lineRule="auto" w:before="0" w:after="0"/>
              <w:ind w:firstLine="0"/>
              <w:jc w:val="left"/>
            </w:pPr>
            <w:r>
              <w:rPr>
                <w:rFonts w:ascii="Times New Roman" w:hAnsi="Times New Roman"/>
                <w:b w:val="0"/>
                <w:color w:val="000000"/>
                <w:sz w:val="24"/>
              </w:rPr>
              <w:t>Esportazione completa del giorno provato; nessun test su telefono fisico.</w:t>
            </w:r>
          </w:p>
        </w:tc>
      </w:tr>
      <w:tr>
        <w:trPr>
          <w:cantSplit/>
        </w:trPr>
        <w:tc>
          <w:tcPr>
            <w:tcW w:type="dxa" w:w="1984"/>
          </w:tcPr>
          <w:p>
            <w:pPr>
              <w:keepNext w:val="0"/>
              <w:pageBreakBefore w:val="0"/>
              <w:widowControl/>
              <w:spacing w:line="360" w:lineRule="auto" w:before="0" w:after="0"/>
              <w:ind w:firstLine="0"/>
              <w:jc w:val="left"/>
            </w:pPr>
            <w:r>
              <w:rPr>
                <w:rFonts w:ascii="Times New Roman" w:hAnsi="Times New Roman"/>
                <w:b w:val="0"/>
                <w:color w:val="000000"/>
                <w:sz w:val="24"/>
              </w:rPr>
              <w:t>Automazioni</w:t>
            </w:r>
          </w:p>
        </w:tc>
        <w:tc>
          <w:tcPr>
            <w:tcW w:type="dxa" w:w="6520"/>
          </w:tcPr>
          <w:p>
            <w:pPr>
              <w:keepNext w:val="0"/>
              <w:pageBreakBefore w:val="0"/>
              <w:widowControl/>
              <w:spacing w:line="360" w:lineRule="auto" w:before="0" w:after="0"/>
              <w:ind w:firstLine="0"/>
              <w:jc w:val="left"/>
            </w:pPr>
            <w:r>
              <w:rPr>
                <w:rFonts w:ascii="Times New Roman" w:hAnsi="Times New Roman"/>
                <w:sz w:val="24"/>
              </w:rPr>
              <w:t>Beat, Redis e worker: SUCCESS con email simulata; retry e guasti non provati [19].</w:t>
            </w:r>
          </w:p>
        </w:tc>
      </w:tr>
      <w:tr>
        <w:trPr>
          <w:cantSplit/>
        </w:trPr>
        <w:tc>
          <w:tcPr>
            <w:tcW w:type="dxa" w:w="1984"/>
          </w:tcPr>
          <w:p>
            <w:pPr>
              <w:keepNext w:val="0"/>
              <w:pageBreakBefore w:val="0"/>
              <w:widowControl/>
              <w:spacing w:line="360" w:lineRule="auto" w:before="0" w:after="0"/>
              <w:ind w:firstLine="0"/>
              <w:jc w:val="left"/>
            </w:pPr>
            <w:r>
              <w:rPr>
                <w:rFonts w:ascii="Times New Roman" w:hAnsi="Times New Roman"/>
                <w:b w:val="0"/>
                <w:color w:val="000000"/>
                <w:sz w:val="24"/>
              </w:rPr>
              <w:t>Servizi esterni</w:t>
            </w:r>
          </w:p>
        </w:tc>
        <w:tc>
          <w:tcPr>
            <w:tcW w:type="dxa" w:w="6520"/>
          </w:tcPr>
          <w:p>
            <w:pPr>
              <w:keepNext w:val="0"/>
              <w:pageBreakBefore w:val="0"/>
              <w:widowControl/>
              <w:spacing w:line="360" w:lineRule="auto" w:before="0" w:after="0"/>
              <w:ind w:firstLine="0"/>
              <w:jc w:val="left"/>
            </w:pPr>
            <w:r>
              <w:rPr>
                <w:rFonts w:ascii="Times New Roman" w:hAnsi="Times New Roman"/>
                <w:sz w:val="24"/>
              </w:rPr>
              <w:t>Stripe Sandbox e Vimeo verificati nei casi descritti; recapito email escluso [18, 20].</w:t>
            </w:r>
          </w:p>
        </w:tc>
      </w:tr>
    </w:tbl>
    <w:p>
      <w:pPr>
        <w:keepNext w:val="0"/>
        <w:pageBreakBefore w:val="0"/>
        <w:widowControl/>
        <w:spacing w:line="360" w:lineRule="auto" w:before="0" w:after="0"/>
        <w:ind w:firstLine="340"/>
        <w:jc w:val="both"/>
      </w:pPr>
      <w:r>
        <w:rPr>
          <w:rFonts w:ascii="Times New Roman" w:hAnsi="Times New Roman"/>
          <w:sz w:val="24"/>
        </w:rPr>
        <w:t>Il nucleo delle schede è sostenuto da prove su acquisizione dei dati, gestione, pubblicazione e consultazione. Le verifiche successive documentano inoltre primi acquisti Stripe Sandbox, esecuzione asincrona del task corretto e upload Vimeo reale [18–20]. La riproduzione nella scheda è riportata come esito manuale nel resoconto, distinto dalle tracce strumentali del player separato; non è presentata come verifica automatica né come misura di disponibilità. Le misure di carico riguardano soltanto login e lettura nel QA [15]. Rimangono esclusi consegna email reale, ciclo completo degli abbonamenti, compatibilità esaustiva, audit di sicurezza e recupero sistematico dai guasti; non sono disponibili misure di disponibilità continuativa in produzione.</w:t>
      </w:r>
    </w:p>
    <w:p>
      <w:pPr>
        <w:keepNext w:val="0"/>
        <w:pageBreakBefore w:val="0"/>
        <w:widowControl/>
        <w:spacing w:line="360" w:lineRule="auto" w:before="0" w:after="0"/>
        <w:ind w:firstLine="340"/>
        <w:jc w:val="both"/>
      </w:pPr>
      <w:r>
        <w:rPr>
          <w:rFonts w:ascii="Times New Roman" w:hAnsi="Times New Roman"/>
          <w:b w:val="0"/>
          <w:color w:val="000000"/>
          <w:sz w:val="24"/>
        </w:rPr>
        <w:t>I risultati distinguono infine qualità applicativa e scelta infrastrutturale. Correggere i permessi o il rinnovo della sessione interviene sul codice; ridurre il rischio legato all’unica VM richiede invece scelte di distribuzione. Un’evoluzione PaaS disaccoppiata può essere valutata per separare le risorse e delegare parte della gestione [3], ma non sostituisce i controlli applicativi. Le conclusioni potranno quindi confrontare i benefici di tale evoluzione con costi e complessità, mantenendo come base gli esiti effettivamente osservati.</w:t>
      </w:r>
    </w:p>
    <w:p>
      <w:pPr>
        <w:pStyle w:val="Heading1"/>
        <w:pageBreakBefore/>
      </w:pPr>
      <w:r>
        <w:t>Bibliografia e sitografia</w:t>
      </w:r>
    </w:p>
    <w:p>
      <w:pPr>
        <w:keepLines/>
        <w:spacing w:after="160"/>
        <w:ind w:firstLine="0"/>
        <w:jc w:val="left"/>
      </w:pPr>
      <w:r>
        <w:t xml:space="preserve">[1] Mell, P., Grance, T. (2011). The NIST Definition of Cloud Computing. NIST SP 800-145. National Institute of Standards and Technology. </w:t>
      </w:r>
      <w:hyperlink r:id="rId9">
        <w:r>
          <w:rPr>
            <w:rFonts w:ascii="Times New Roman" w:hAnsi="Times New Roman"/>
            <w:color w:val="000000"/>
            <w:u w:val="single"/>
          </w:rPr>
          <w:t>DOI 10.6028/NIST.SP.800-145</w:t>
        </w:r>
      </w:hyperlink>
      <w:r>
        <w:t>.</w:t>
      </w:r>
    </w:p>
    <w:p>
      <w:pPr>
        <w:keepLines/>
        <w:spacing w:after="160"/>
        <w:ind w:firstLine="0"/>
        <w:jc w:val="left"/>
      </w:pPr>
      <w:r>
        <w:t xml:space="preserve">[2] Armbrust, M., Fox, A., Griffith, R., Joseph, A. D., Katz, R., Konwinski, A., Lee, G., Patterson, D., Rabkin, A., Stoica, I., Zaharia, M. (2010). A View of Cloud Computing. Communications of the ACM, 53(4), 50–58. </w:t>
      </w:r>
      <w:hyperlink r:id="rId10">
        <w:r>
          <w:rPr>
            <w:rFonts w:ascii="Times New Roman" w:hAnsi="Times New Roman"/>
            <w:color w:val="000000"/>
            <w:u w:val="single"/>
          </w:rPr>
          <w:t>DOI 10.1145/1721654.1721672</w:t>
        </w:r>
      </w:hyperlink>
      <w:r>
        <w:t>.</w:t>
      </w:r>
    </w:p>
    <w:p>
      <w:pPr>
        <w:keepLines/>
        <w:spacing w:after="160"/>
        <w:ind w:firstLine="0"/>
        <w:jc w:val="left"/>
      </w:pPr>
      <w:r>
        <w:t xml:space="preserve">[3] Badger, L., Grance, T., Patt-Corner, R., Voas, J. (2012). Cloud Computing Synopsis and Recommendations. NIST SP 800-146. </w:t>
      </w:r>
      <w:hyperlink r:id="rId11">
        <w:r>
          <w:rPr>
            <w:rFonts w:ascii="Times New Roman" w:hAnsi="Times New Roman"/>
            <w:color w:val="000000"/>
            <w:u w:val="single"/>
          </w:rPr>
          <w:t>DOI 10.6028/NIST.SP.800-146</w:t>
        </w:r>
      </w:hyperlink>
      <w:r>
        <w:t>.</w:t>
      </w:r>
    </w:p>
    <w:p>
      <w:pPr>
        <w:keepLines/>
        <w:spacing w:after="160"/>
        <w:ind w:firstLine="0"/>
        <w:jc w:val="left"/>
      </w:pPr>
      <w:r>
        <w:t xml:space="preserve">[4] Souppaya, M., Morello, J., Scarfone, K. (2017). Application Container Security Guide. NIST SP 800-190. </w:t>
      </w:r>
      <w:hyperlink r:id="rId12">
        <w:r>
          <w:rPr>
            <w:rFonts w:ascii="Times New Roman" w:hAnsi="Times New Roman"/>
            <w:color w:val="000000"/>
            <w:u w:val="single"/>
          </w:rPr>
          <w:t>DOI 10.6028/NIST.SP.800-190</w:t>
        </w:r>
      </w:hyperlink>
      <w:r>
        <w:t>.</w:t>
      </w:r>
    </w:p>
    <w:p>
      <w:pPr>
        <w:keepLines/>
        <w:spacing w:after="160"/>
        <w:ind w:firstLine="0"/>
        <w:jc w:val="left"/>
      </w:pPr>
      <w:r>
        <w:t xml:space="preserve">[5] Beyer, B., Jones, C., Petoff, J., Murphy, N. R. (a cura di) (2016). Site Reliability Engineering: How Google Runs Production Systems. O’Reilly Media. ISBN 978-1-491-92912-4. </w:t>
      </w:r>
      <w:hyperlink r:id="rId13">
        <w:r>
          <w:rPr>
            <w:rFonts w:ascii="Times New Roman" w:hAnsi="Times New Roman"/>
            <w:color w:val="000000"/>
            <w:u w:val="single"/>
          </w:rPr>
          <w:t>Testo sul sito ufficiale Google SRE</w:t>
        </w:r>
      </w:hyperlink>
      <w:r>
        <w:t>.</w:t>
      </w:r>
    </w:p>
    <w:p>
      <w:pPr>
        <w:keepLines/>
        <w:spacing w:after="160"/>
        <w:ind w:firstLine="0"/>
        <w:jc w:val="left"/>
      </w:pPr>
      <w:r>
        <w:t xml:space="preserve">[6] Kleppmann, M. (2017). Designing Data-Intensive Applications: The Big Ideas Behind Reliable, Scalable, and Maintainable Systems. Prima edizione. O’Reilly Media. </w:t>
      </w:r>
      <w:hyperlink r:id="rId14">
        <w:r>
          <w:rPr>
            <w:rFonts w:ascii="Times New Roman" w:hAnsi="Times New Roman"/>
            <w:color w:val="000000"/>
            <w:u w:val="single"/>
          </w:rPr>
          <w:t>Scheda sul sito dell’autore</w:t>
        </w:r>
      </w:hyperlink>
      <w:r>
        <w:t>.</w:t>
      </w:r>
    </w:p>
    <w:p>
      <w:pPr>
        <w:keepLines/>
        <w:spacing w:after="160"/>
        <w:ind w:firstLine="0"/>
        <w:jc w:val="left"/>
      </w:pPr>
      <w:r>
        <w:t xml:space="preserve">[7] Cloud Native Computing Foundation (2024). CNCF Cloud Native Definition v1.1. Approvata il 26 febbraio 2024. </w:t>
      </w:r>
      <w:hyperlink r:id="rId15">
        <w:r>
          <w:rPr>
            <w:rFonts w:ascii="Times New Roman" w:hAnsi="Times New Roman"/>
            <w:color w:val="000000"/>
            <w:u w:val="single"/>
          </w:rPr>
          <w:t>Documento ufficiale CNCF</w:t>
        </w:r>
      </w:hyperlink>
      <w:r>
        <w:t>. Consultato il 25 settembre 2026.</w:t>
      </w:r>
    </w:p>
    <w:p>
      <w:pPr>
        <w:keepLines/>
        <w:spacing w:after="160"/>
        <w:ind w:firstLine="0"/>
        <w:jc w:val="left"/>
      </w:pPr>
      <w:r>
        <w:t xml:space="preserve">[8] Wiggins, A. (s.d.). The Twelve-Factor App. </w:t>
      </w:r>
      <w:hyperlink r:id="rId16">
        <w:r>
          <w:rPr>
            <w:rFonts w:ascii="Times New Roman" w:hAnsi="Times New Roman"/>
            <w:color w:val="000000"/>
            <w:u w:val="single"/>
          </w:rPr>
          <w:t>Sito ufficiale</w:t>
        </w:r>
      </w:hyperlink>
      <w:r>
        <w:t>. Consultato il 25 settembre 2026.</w:t>
      </w:r>
    </w:p>
    <w:p>
      <w:pPr>
        <w:keepLines/>
        <w:spacing w:after="160"/>
        <w:ind w:firstLine="0"/>
        <w:jc w:val="left"/>
      </w:pPr>
      <w:r>
        <w:t xml:space="preserve">[9] Docker, Inc. (s.d.). Docker Compose. Docker Documentation. </w:t>
      </w:r>
      <w:hyperlink r:id="rId17">
        <w:r>
          <w:rPr>
            <w:rFonts w:ascii="Times New Roman" w:hAnsi="Times New Roman"/>
            <w:color w:val="000000"/>
            <w:u w:val="single"/>
          </w:rPr>
          <w:t>Documentazione ufficiale</w:t>
        </w:r>
      </w:hyperlink>
      <w:r>
        <w:t>. Consultato il 25 settembre 2026.</w:t>
      </w:r>
    </w:p>
    <w:p>
      <w:pPr>
        <w:keepLines/>
        <w:spacing w:after="160"/>
        <w:ind w:firstLine="0"/>
        <w:jc w:val="left"/>
      </w:pPr>
      <w:r>
        <w:t xml:space="preserve">[10] Celery Project (s.d.). Introduction to Celery. Celery Documentation, versione 5.6.3 consultata. </w:t>
      </w:r>
      <w:hyperlink r:id="rId18">
        <w:r>
          <w:rPr>
            <w:rFonts w:ascii="Times New Roman" w:hAnsi="Times New Roman"/>
            <w:color w:val="000000"/>
            <w:u w:val="single"/>
          </w:rPr>
          <w:t>Documentazione ufficiale</w:t>
        </w:r>
      </w:hyperlink>
      <w:r>
        <w:t>. Consultato il 25 settembre 2026.</w:t>
      </w:r>
      <w:r>
        <w:t xml:space="preserve"> Per la versione dichiarata dal progetto: </w:t>
      </w:r>
      <w:hyperlink r:id="rId23">
        <w:r>
          <w:rPr>
            <w:rFonts w:ascii="Times New Roman" w:hAnsi="Times New Roman"/>
            <w:u w:val="single"/>
          </w:rPr>
          <w:t>Introduzione a Celery 5.4.0</w:t>
        </w:r>
      </w:hyperlink>
      <w:r>
        <w:t>. Consultata il 25 settembre 2026.</w:t>
      </w:r>
    </w:p>
    <w:p>
      <w:pPr>
        <w:keepLines/>
        <w:spacing w:after="160"/>
        <w:ind w:firstLine="0"/>
        <w:jc w:val="left"/>
      </w:pPr>
      <w:r>
        <w:t xml:space="preserve">[11] Stripe (s.d.). Webhooks. Stripe Documentation. </w:t>
      </w:r>
      <w:hyperlink r:id="rId19">
        <w:r>
          <w:rPr>
            <w:rFonts w:ascii="Times New Roman" w:hAnsi="Times New Roman"/>
            <w:color w:val="000000"/>
            <w:u w:val="single"/>
          </w:rPr>
          <w:t>Documentazione ufficiale</w:t>
        </w:r>
      </w:hyperlink>
      <w:r>
        <w:t>. Consultato il 25 settembre 2026.</w:t>
      </w:r>
    </w:p>
    <w:p>
      <w:pPr>
        <w:keepLines/>
        <w:widowControl/>
        <w:spacing w:line="360" w:lineRule="auto" w:before="0" w:after="0"/>
        <w:ind w:firstLine="0"/>
        <w:jc w:val="left"/>
      </w:pPr>
      <w:r>
        <w:rPr>
          <w:rFonts w:ascii="Times New Roman" w:hAnsi="Times New Roman"/>
          <w:color w:val="000000"/>
          <w:sz w:val="24"/>
        </w:rPr>
        <w:t xml:space="preserve">[12] React (s.d.). Thinking in React. Documentazione ufficiale. </w:t>
      </w:r>
      <w:hyperlink r:id="rId24">
        <w:r>
          <w:rPr>
            <w:rFonts w:ascii="Times New Roman" w:hAnsi="Times New Roman"/>
            <w:u w:val="single"/>
          </w:rPr>
          <w:t>Testo online</w:t>
        </w:r>
      </w:hyperlink>
      <w:r>
        <w:t>. Consultato il 25 settembre 2026.</w:t>
      </w:r>
    </w:p>
    <w:p>
      <w:pPr>
        <w:keepLines/>
        <w:widowControl/>
        <w:spacing w:line="360" w:lineRule="auto" w:before="0" w:after="0"/>
        <w:ind w:firstLine="0"/>
        <w:jc w:val="left"/>
      </w:pPr>
      <w:r>
        <w:rPr>
          <w:rFonts w:ascii="Times New Roman" w:hAnsi="Times New Roman"/>
          <w:color w:val="000000"/>
          <w:sz w:val="24"/>
        </w:rPr>
        <w:t xml:space="preserve">[13] Django REST Framework (s.d.). Permissions. Documentazione ufficiale. </w:t>
      </w:r>
      <w:hyperlink r:id="rId25">
        <w:r>
          <w:rPr>
            <w:rFonts w:ascii="Times New Roman" w:hAnsi="Times New Roman"/>
            <w:u w:val="single"/>
          </w:rPr>
          <w:t>Testo online</w:t>
        </w:r>
      </w:hyperlink>
      <w:r>
        <w:t>. Consultato il 25 settembre 2026.</w:t>
      </w:r>
    </w:p>
    <w:p>
      <w:pPr>
        <w:keepNext w:val="0"/>
        <w:pageBreakBefore w:val="0"/>
        <w:widowControl/>
        <w:spacing w:line="360" w:lineRule="auto" w:before="0" w:after="0"/>
        <w:ind w:firstLine="0"/>
        <w:jc w:val="both"/>
      </w:pPr>
      <w:r>
        <w:rPr>
          <w:rFonts w:ascii="Times New Roman" w:hAnsi="Times New Roman"/>
          <w:b w:val="0"/>
          <w:color w:val="000000"/>
          <w:sz w:val="24"/>
        </w:rPr>
        <w:t>[14] Autore del progetto FitNexus (2026). Resoconto del collaudo FitNexus. Documento tecnico interno, 3 ottobre 2026. File RESOCONTO_COLLAUDO_FITNEXUS.md, disponibile nella cartella docs del repository del progetto; evidenze richiamate nella cartella docs/prove-locali. Fonte non pubblicata online.</w:t>
      </w:r>
    </w:p>
    <w:p>
      <w:pPr>
        <w:keepNext w:val="0"/>
        <w:pageBreakBefore w:val="0"/>
        <w:widowControl/>
        <w:spacing w:line="360" w:lineRule="auto" w:before="0" w:after="0"/>
        <w:ind w:firstLine="0"/>
        <w:jc w:val="both"/>
      </w:pPr>
      <w:r>
        <w:rPr>
          <w:rFonts w:ascii="Times New Roman" w:hAnsi="Times New Roman"/>
          <w:b w:val="0"/>
          <w:color w:val="000000"/>
          <w:sz w:val="24"/>
        </w:rPr>
        <w:t>[15] Autore del progetto FitNexus (2026). FitNexus — Test di carico locale. Resoconto tecnico interno del 3 ottobre 2026, run 20261003T095617Z. File docs/TEST_CARICO_FITNEXUS.md; misure ed evidenze in docs/prove-carico/20261003T095617Z nel repository del progetto. Fonte non pubblicata online.</w:t>
      </w:r>
    </w:p>
    <w:p>
      <w:pPr>
        <w:keepNext w:val="0"/>
        <w:pageBreakBefore w:val="0"/>
        <w:widowControl/>
        <w:spacing w:line="360" w:lineRule="auto" w:before="0" w:after="0"/>
        <w:ind w:firstLine="0"/>
        <w:jc w:val="both"/>
      </w:pPr>
      <w:r>
        <w:rPr>
          <w:rFonts w:ascii="Times New Roman" w:hAnsi="Times New Roman"/>
          <w:b w:val="0"/>
          <w:color w:val="000000"/>
          <w:sz w:val="24"/>
        </w:rPr>
        <w:t>[16] Gunicorn (s.d.). Settings, sezioni Worker Class e Threads. Documentazione della versione 23.0.0. https://docs.gunicorn.org/en/stable/settings.html#threads. Consultato il 3 ottobre 2026.</w:t>
      </w:r>
    </w:p>
    <w:p>
      <w:pPr>
        <w:keepNext w:val="0"/>
        <w:pageBreakBefore w:val="0"/>
        <w:widowControl/>
        <w:spacing w:line="360" w:lineRule="auto" w:before="0" w:after="0"/>
        <w:ind w:firstLine="0"/>
        <w:jc w:val="both"/>
      </w:pPr>
      <w:r>
        <w:rPr>
          <w:rFonts w:ascii="Times New Roman" w:hAnsi="Times New Roman"/>
          <w:b w:val="0"/>
          <w:color w:val="000000"/>
          <w:sz w:val="24"/>
        </w:rPr>
        <w:t>[17] Django Software Foundation (s.d.). Password management in Django, sezioni How Django stores passwords e Increasing the work factor. Documentazione Django 3.2. https://docs.djangoproject.com/en/3.2/topics/auth/passwords/. Consultato il 3 ottobre 2026.</w:t>
      </w:r>
    </w:p>
    <w:p>
      <w:pPr>
        <w:spacing w:line="360" w:lineRule="auto" w:after="0"/>
        <w:ind w:firstLine="0"/>
      </w:pPr>
      <w:r>
        <w:rPr>
          <w:rFonts w:ascii="Times New Roman" w:hAnsi="Times New Roman"/>
          <w:sz w:val="24"/>
        </w:rPr>
        <w:t>[18] Autore del progetto FitNexus (2026). Test dei sei abbonamenti Stripe. Resoconto del 3 ottobre 2026, docs/TEST_PAGAMENTI_STRIPE.md. Evidenze: docs/prove-stripe/pagamenti-20261003, inclusi results.json, reconciliation.json e listener.log. Documentazione interna del progetto.</w:t>
      </w:r>
    </w:p>
    <w:p>
      <w:pPr>
        <w:spacing w:line="360" w:lineRule="auto" w:after="0"/>
        <w:ind w:firstLine="0"/>
      </w:pPr>
      <w:r>
        <w:rPr>
          <w:rFonts w:ascii="Times New Roman" w:hAnsi="Times New Roman"/>
          <w:sz w:val="24"/>
        </w:rPr>
        <w:t>[19] Autore del progetto FitNexus (2026). FitNexus — Verifica del task corretto attraverso Celery Beat. Resoconto del 3 ottobre 2026, docs/TEST_CELERY_BEAT_FITNEXUS.md. Run qa-beat-20261003T103948Z; risultati e log in docs/prove-beat. Documentazione interna del progetto.</w:t>
      </w:r>
    </w:p>
    <w:p>
      <w:pPr>
        <w:spacing w:line="360" w:lineRule="auto" w:after="0"/>
        <w:ind w:firstLine="0"/>
      </w:pPr>
      <w:r>
        <w:rPr>
          <w:rFonts w:ascii="Times New Roman" w:hAnsi="Times New Roman"/>
          <w:sz w:val="24"/>
        </w:rPr>
        <w:t>[20] Autore del progetto FitNexus (2026). FitNexus — Test Vimeo reali. Collaudo del 3–4 ottobre 2026, docs/TEST_VIMEO_FITNEXUS.md. Evidenze in docs/prove-vimeo, inclusi upload-permissions.json, step-2-video.json e direct-playback.json; verifica manuale della riproduzione incorporata riportata nel resoconto. Documentazione interna del progetto.</w:t>
      </w:r>
    </w:p>
    <w:sectPr w:rsidR="00FC693F" w:rsidRPr="0006063C" w:rsidSect="00034616">
      <w:footerReference w:type="default" r:id="rId20"/>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34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028/NIST.SP.800-145" TargetMode="External"/><Relationship Id="rId10" Type="http://schemas.openxmlformats.org/officeDocument/2006/relationships/hyperlink" Target="https://doi.org/10.1145/1721654.1721672" TargetMode="External"/><Relationship Id="rId11" Type="http://schemas.openxmlformats.org/officeDocument/2006/relationships/hyperlink" Target="https://doi.org/10.6028/NIST.SP.800-146" TargetMode="External"/><Relationship Id="rId12" Type="http://schemas.openxmlformats.org/officeDocument/2006/relationships/hyperlink" Target="https://doi.org/10.6028/NIST.SP.800-190" TargetMode="External"/><Relationship Id="rId13" Type="http://schemas.openxmlformats.org/officeDocument/2006/relationships/hyperlink" Target="https://sre.google/sre-book/table-of-contents/" TargetMode="External"/><Relationship Id="rId14" Type="http://schemas.openxmlformats.org/officeDocument/2006/relationships/hyperlink" Target="https://martin.kleppmann.com/2017/03/27/designing-data-intensive-applications.html" TargetMode="External"/><Relationship Id="rId15" Type="http://schemas.openxmlformats.org/officeDocument/2006/relationships/hyperlink" Target="https://github.com/cncf/toc/blob/main/DEFINITION.md" TargetMode="External"/><Relationship Id="rId16" Type="http://schemas.openxmlformats.org/officeDocument/2006/relationships/hyperlink" Target="https://www.12factor.net/" TargetMode="External"/><Relationship Id="rId17" Type="http://schemas.openxmlformats.org/officeDocument/2006/relationships/hyperlink" Target="https://docs.docker.com/compose/" TargetMode="External"/><Relationship Id="rId18" Type="http://schemas.openxmlformats.org/officeDocument/2006/relationships/hyperlink" Target="https://docs.celeryq.dev/en/stable/getting-started/introduction.html" TargetMode="External"/><Relationship Id="rId19" Type="http://schemas.openxmlformats.org/officeDocument/2006/relationships/hyperlink" Target="https://docs.stripe.com/webhooks" TargetMode="External"/><Relationship Id="rId20" Type="http://schemas.openxmlformats.org/officeDocument/2006/relationships/footer" Target="footer1.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hyperlink" Target="https://docs.celeryq.dev/en/v5.4.0/getting-started/introduction.html" TargetMode="External"/><Relationship Id="rId24" Type="http://schemas.openxmlformats.org/officeDocument/2006/relationships/hyperlink" Target="https://react.dev/learn/thinking-in-react" TargetMode="External"/><Relationship Id="rId25" Type="http://schemas.openxmlformats.org/officeDocument/2006/relationships/hyperlink" Target="https://www.django-rest-framework.org/api-guide/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Introduzione alla tesi su FitNexus e cloud computing</dc:title>
  <dc:subject>Obiettivi e perimetro della tesi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