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68" w:lineRule="atLeast"/>
        <w:jc w:val="center"/>
      </w:pPr>
      <w:r>
        <w:rPr>
          <w:rFonts w:ascii="Times New Roman" w:cs="Times New Roman" w:eastAsia="SimSun" w:hAnsi="Times New Roman"/>
          <w:b/>
          <w:bCs/>
          <w:i w:val="false"/>
          <w:iCs w:val="false"/>
          <w:color w:val="000000"/>
          <w:sz w:val="32"/>
          <w:szCs w:val="32"/>
          <w:rtl w:val="false"/>
        </w:rPr>
        <w:t xml:space="preserve">Symbolically-Compiled Reasoning Serving (SCRS): A Three-Tier Neuro-Symbolic Architecture for Deterministic and Cost-Efficient Inference of Large Language Models</w:t>
      </w:r>
    </w:p>
    <w:p>
      <w:pPr>
        <w:spacing w:after="60" w:line="300"/>
        <w:jc w:val="center"/>
      </w:pPr>
      <w:r>
        <w:rPr>
          <w:rFonts w:ascii="Times New Roman" w:cs="Times New Roman" w:eastAsia="SimSun" w:hAnsi="Times New Roman"/>
          <w:b/>
          <w:bCs/>
          <w:i w:val="false"/>
          <w:iCs w:val="false"/>
          <w:color w:val="000000"/>
          <w:sz w:val="24"/>
          <w:szCs w:val="24"/>
          <w:rtl w:val="false"/>
        </w:rPr>
        <w:t xml:space="preserve">Mohammad Reza Bagheri K.</w:t>
      </w:r>
    </w:p>
    <w:p>
      <w:pPr>
        <w:spacing w:after="40" w:line="280"/>
        <w:jc w:val="center"/>
      </w:pPr>
      <w:r>
        <w:rPr>
          <w:rFonts w:ascii="Times New Roman" w:cs="Times New Roman" w:eastAsia="SimSun" w:hAnsi="Times New Roman"/>
          <w:b w:val="false"/>
          <w:bCs w:val="false"/>
          <w:i/>
          <w:iCs/>
          <w:color w:val="444444"/>
          <w:sz w:val="20"/>
          <w:szCs w:val="20"/>
          <w:rtl w:val="false"/>
        </w:rPr>
        <w:t xml:space="preserve">Independent Researcher. Developer of Rootkit Unhooker and other systems software; known in the software community as DiabloNova.</w:t>
      </w:r>
    </w:p>
    <w:p>
      <w:pPr>
        <w:spacing w:after="120" w:line="280"/>
        <w:jc w:val="center"/>
      </w:pPr>
      <w:r>
        <w:rPr>
          <w:rFonts w:ascii="Times New Roman" w:cs="Times New Roman" w:eastAsia="SimSun" w:hAnsi="Times New Roman"/>
          <w:b w:val="false"/>
          <w:bCs w:val="false"/>
          <w:i/>
          <w:iCs/>
          <w:color w:val="444444"/>
          <w:sz w:val="20"/>
          <w:szCs w:val="20"/>
          <w:rtl w:val="false"/>
        </w:rPr>
        <w:t xml:space="preserve">Manuscript prepared October 2026.</w:t>
      </w:r>
    </w:p>
    <w:p>
      <w:pPr>
        <w:pBdr>
          <w:bottom w:val="single" w:color="000000" w:sz="6" w:space="4"/>
        </w:pBdr>
        <w:spacing w:after="200" w:before="60"/>
      </w:pPr>
    </w:p>
    <w:p>
      <w:pPr>
        <w:pStyle w:val="Heading1"/>
        <w:keepNext/>
        <w:spacing w:after="160" w:before="120" w:line="340" w:lineRule="atLeast"/>
      </w:pPr>
      <w:r>
        <w:rPr>
          <w:rFonts w:ascii="Times New Roman" w:cs="Times New Roman" w:eastAsia="SimSun" w:hAnsi="Times New Roman"/>
          <w:b/>
          <w:bCs/>
          <w:i w:val="false"/>
          <w:iCs w:val="false"/>
          <w:color w:val="000000"/>
          <w:sz w:val="28"/>
          <w:szCs w:val="28"/>
          <w:rtl w:val="false"/>
        </w:rPr>
        <w:t xml:space="preserve">Abstract</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Serving large language models (LLMs) in retrieval-augmented, reasoning-intensive applications faces three recurring structural inefficiencies: (i) the quadratic pre-fill cost of injecting long raw documents into the model context; (ii) the repeated regeneration of thousands of chain-of-thought tokens for requests that, although superficially different, share the same underlying decision topology; and (iii) the invocation of multi-billion-parameter models for the predominantly low-entropy, syntactic continuation of otherwise predictable text. This paper presents SCRS (Symbolically-Compiled Reasoning Serving), a three-tier serving architecture that converts inference from run-time textual interpretation into a compile–execute–render pipeline. At index time, Tier I compiles raw documents into typed symbolic propositional capsules and pre-computes position-decoupled key–value (KV) states by deferring rotary position embeddings (RoPE) to load time, so that per-request capsule loading reduces to a lightweight rotation plus a metered selective fusion recompute rather than a full re-encoding. At request time, Tier II maps each query onto a typed decision graph, retrieves structurally isomorphic candidate patterns, admits them through a hard transfer-compatibility gate, and executes them on a deterministic predicate runtime whose halting behaviour and output uniqueness are formally guaranteed. At generation time, Tier III renders the verified execution trace with a small local language model and escalates to the oracle LLM only at high-entropy branch points, where a short sequence of anchor tokens induces conditional entropy collapse. We state and prove formal guarantees for the Tier II runtime and for the fail-closed soundness of the transfer gate under explicit assumptions, analyse the entropy-collapse effect of anchor injection, derive an honest expected-cost model that explicitly accounts for cache misses, bail-outs, anchor-window oracle calls — including their re-sent input tokens and their latency — and fallback traffic, and release an executable conformance reference model whose 26-test suite pins the gate's fail-closed semantics. An analytical projection, generated by a released reproducible script from stated assumptions rather than from new deployment data, suggests that for rule-governed workloads the architecture can plausibly reduce projected serving cost by about 70% and projected median end-to-end latency by about 93%, while the admission gate is designed to reject cross-domain pattern transfer, with zero observed transfers as the declared design target to be bounded statistically under the published validation protocol. A complete reproducibility protocol, a pinned reference stack, and a validation benchmark design are specified.</w:t>
      </w:r>
    </w:p>
    <w:p>
      <w:pPr>
        <w:keepNext w:val="false"/>
        <w:bidi w:val="false"/>
        <w:spacing w:after="120" w:before="0" w:line="360"/>
        <w:jc w:val="both"/>
      </w:pPr>
      <w:r>
        <w:rPr>
          <w:rFonts w:ascii="Times New Roman" w:cs="Times New Roman" w:eastAsia="SimSun" w:hAnsi="Times New Roman"/>
          <w:b/>
          <w:bCs/>
          <w:i w:val="false"/>
          <w:iCs w:val="false"/>
          <w:color w:val="000000"/>
          <w:sz w:val="24"/>
          <w:szCs w:val="24"/>
          <w:rtl w:val="false"/>
        </w:rPr>
        <w:t xml:space="preserve">Keywords: </w:t>
      </w:r>
      <w:r>
        <w:rPr>
          <w:rFonts w:ascii="Times New Roman" w:cs="Times New Roman" w:eastAsia="SimSun" w:hAnsi="Times New Roman"/>
          <w:b w:val="false"/>
          <w:bCs w:val="false"/>
          <w:i/>
          <w:iCs/>
          <w:color w:val="000000"/>
          <w:sz w:val="24"/>
          <w:szCs w:val="24"/>
          <w:rtl w:val="false"/>
        </w:rPr>
        <w:t xml:space="preserve">large language model serving; inference cost optimisation; speculative and cascade decoding; semantic caching; retrieval-augmented generation; prompt compression; neuro-symbolic systems; reproducibility.</w:t>
      </w:r>
    </w:p>
    <w:p>
      <w:pPr>
        <w:pBdr>
          <w:bottom w:val="single" w:color="000000" w:sz="6" w:space="4"/>
        </w:pBdr>
        <w:spacing w:after="200" w:before="60"/>
      </w:pPr>
    </w:p>
    <w:p>
      <w:pPr>
        <w:pStyle w:val="Heading1"/>
        <w:keepNext/>
        <w:bidi/>
        <w:spacing w:after="160" w:before="120" w:line="340" w:lineRule="atLeast"/>
        <w:jc w:val="center"/>
      </w:pPr>
      <w:r>
        <w:rPr>
          <w:rFonts w:ascii="Times New Roman" w:cs="Times New Roman" w:eastAsia="SimSun" w:hAnsi="Times New Roman"/>
          <w:b/>
          <w:bCs/>
          <w:color w:val="000000"/>
          <w:sz w:val="28"/>
          <w:szCs w:val="28"/>
          <w:rtl/>
        </w:rPr>
        <w:t xml:space="preserve">چکیده</w:t>
      </w:r>
    </w:p>
    <w:p>
      <w:pPr>
        <w:bidi/>
        <w:spacing w:after="80" w:before="0" w:line="380"/>
        <w:jc w:val="both"/>
      </w:pPr>
      <w:r>
        <w:rPr>
          <w:rFonts w:ascii="Times New Roman" w:cs="Times New Roman" w:eastAsia="SimSun" w:hAnsi="Times New Roman"/>
          <w:b w:val="false"/>
          <w:color w:val="000000"/>
          <w:sz w:val="24"/>
          <w:szCs w:val="24"/>
          <w:rtl/>
        </w:rPr>
        <w:t xml:space="preserve">سرویس‌دهی مدل‌های زبانی بزرگ (LLM) در کاربردهای مبتنی بر بازیابی و استدلال، با سه ناکارآمدی ساختاری تکرارشونده روبه‌روست: (۱) هزینه درجه دوم فاز پیش‌پردازش (Pre-fill) در تزریق اسناد خام و بلند به زمینه مدل؛ (۲) بازتولید مکرر هزاران توکن زنجیره تفکر برای درخواست‌هایی که با وجود تفاوت ظاهری، توپولوژی تصمیم یکسانی دارند؛ و (۳) به‌کارگیری مدل‌های چند میلیارد پارامتری برای ادامه‌ی عمدتاً کم‌آنتروپی و نحویِ متنی که از پیش قابل پیش‌بینی است. این مقاله SCRS (سرویس‌دهی استدلال مبتنی بر کامپایل نمادین) را معرفی می‌کند؛ معماری سه‌لایه‌ای که استنتاج را از «تفسیر متنی در زمان اجرا» به خط لوله «کامپایل، اجرا و رندر» تبدیل می‌کند. در زمان نمایه‌سازی، لایه اول اسناد خام را به کپسول‌های گزاره‌ای نمادین تایپ‌شده کامپایل می‌کند و وضعیت‌های کلید–مقدار (KV) مستقل از موقعیت را با تعویق نگاشت موقعیت چرخشی (RoPE) به زمان بارگذاری از پیش محاسبه می‌نماید؛ به‌گونه‌ای که بارگذاری هر کپسول در زمان درخواست به یک چرخش سبک به‌علاوه محاسبه مجدد انتخابیِ سنجه‌پذیر برای هم‌جوشی کش تقلیل می‌یابد، نه بازکدگذاری کامل. در زمان درخواست، لایه دوم هر پرسش را بر یک گراف تصمیم تایپ‌شده نگاشت می‌کند، الگوهای هم‌ریخت ساختاری را بازیابی می‌سازد، ورود آن‌ها را از گیت سخت‌گیرانه سازگاری انتقال عبور می‌دهد و آن‌ها را بر روی یک ماشین محمول قطعی اجرا می‌کند که توقف‌پذیری و یکتایی خروجی آن به‌صورت صوری تضمین شده است. در زمان تولید، لایه سوم ردپای اجرای تاییدشده را با یک مدل زبانی کوچک محلی رندر می‌کند و تنها در نقاط انشعاب پرآنتروپی به مدل شاه (Oracle) ارتقا می‌دهد؛ در این نقاط، دنباله کوتاهی از «توکن‌های لنگر» فروپاشی آنتروپی شرطی را رقم می‌زند. در این مقاله تضمین‌های صوری زمان اجرای لایه دوم و درستیِ fail-closed گیت انتقال — تحت فرض‌های صریح — صورت‌بندی و اثبات می‌شود، مدل مرجع اجرایی انطباقِ گیت با مجموعه ۲۶ آزمون منتشر می‌گردد، اثر فروپاشی آنتروپی در نتیجه تزریق لنگر تحلیل می‌گردد و مدل هزینه انتظاریِ صادقانه‌ای ارائه می‌شود که خطاهای کش، توقف‌های اضطراری، فراخوانی‌های لنگرِ مدل شاه — از جمله توکن‌های ورودی بازارسال‌شده و تأخیر آن‌ها — و ترافیک بازگشتی را صریحاً لحاظ می‌کند. تصویر تحلیلیِ تولیدشده توسط اسکریپت بازتولیدپذیر منتشرشده بر مبنای فرض‌های صریح (و نه داده‌های استقرار جدید) نشان می‌دهد که برای بارهای کاری قانون‌مند، کاهش تا حدود ۷۰ درصدی هزینه سرویس‌دهی و کاهش حدود ۹۳ درصدی میانه تأخیر انتها‌به‌انتها محتمل است؛ و گیت پذیرش به‌گونه‌ای طراحی شده است که انتقال بین‌دامنه‌ای الگوها را رد کند — صفر بودن انتقال‌های مشاهده‌شده، هدف طراحی اعلام‌شده‌ای است که در پروتکل اعتبارسنجی منتشرشده به‌صورت آماری محدود و سنجیده می‌شود. پروتکل کامل تکرارپذیری، پشته مرجع تثبیت‌شده، طرح بنچمارک اعتبارسنجی و اسکریپت بازتولیدپذیرِ محاسبهٔ جدول ۲ نیز مشخص شده‌اند.</w:t>
      </w:r>
    </w:p>
    <w:p>
      <w:pPr>
        <w:bidi/>
        <w:spacing w:after="120" w:before="0" w:line="380"/>
        <w:jc w:val="both"/>
      </w:pPr>
      <w:r>
        <w:rPr>
          <w:rFonts w:ascii="Times New Roman" w:cs="Times New Roman" w:eastAsia="SimSun" w:hAnsi="Times New Roman"/>
          <w:b/>
          <w:bCs/>
          <w:color w:val="000000"/>
          <w:sz w:val="24"/>
          <w:szCs w:val="24"/>
          <w:rtl/>
        </w:rPr>
        <w:t xml:space="preserve">کلیدواژه‌ها: </w:t>
      </w:r>
      <w:r>
        <w:rPr>
          <w:rFonts w:ascii="Times New Roman" w:cs="Times New Roman" w:eastAsia="SimSun" w:hAnsi="Times New Roman"/>
          <w:b w:val="false"/>
          <w:color w:val="000000"/>
          <w:sz w:val="24"/>
          <w:szCs w:val="24"/>
          <w:rtl/>
        </w:rPr>
        <w:t xml:space="preserve">سرویس‌دهی مدل‌های زبانی بزرگ؛ بهینه‌سازی هزینه استنتاج؛ رمزگشایی گمانه‌زنانه و آبشاری؛ کش معنایی؛ تولید با تقویت بازیابی؛ فشرده‌سازی پرامپت؛ سامانه‌های عصبی–نمادین؛ تکرارپذیری.</w:t>
      </w:r>
    </w:p>
    <w:p>
      <w:pPr>
        <w:pBdr>
          <w:bottom w:val="single" w:color="000000" w:sz="6" w:space="4"/>
        </w:pBdr>
        <w:spacing w:after="240" w:before="60"/>
      </w:pP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1. Introduction and Problem Formulation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1.1 Motivation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dominant engineering paradigm for systems built on large language models treats every incoming query q as a novel event. In a standard reasoning-oriented retrieval-augmented generation (RAG) pipeline [3], the raw text of the retrieved documents is concatenated with the query, the whole sequence is pre-filled by the model, an autoregressive chain-of-thought (CoT) trajectory is sampled [4], and only then is the user-visible answer produced. Modern reasoning models make this pattern considerably more expensive, since intermediate deliberation can consume thousands of tokens per request [5, 33]. The end-to-end serving time and cost of such a pipeline can be approximated by the following latency model:</w:t>
      </w:r>
    </w:p>
    <w:p>
      <w:pPr>
        <w:tabs>
          <w:tab w:val="center" w:pos="4394"/>
          <w:tab w:val="right" w:pos="8788"/>
        </w:tabs>
        <w:spacing w:after="120" w:before="120" w:line="360"/>
      </w:pPr>
      <w:r>
        <w:t xml:space="preserve">	</w:t>
      </w:r>
      <m:oMath>
        <m:sSub>
          <m:sSubPr/>
          <m:e>
            <m:r>
              <m:t>T</m:t>
            </m:r>
          </m:e>
          <m:sub>
            <m:r>
              <m:t>E2E</m:t>
            </m:r>
          </m:sub>
        </m:sSub>
        <m:r>
          <m:t xml:space="preserve">(q) = </m:t>
        </m:r>
        <m:sSub>
          <m:sSubPr/>
          <m:e>
            <m:r>
              <m:t>T</m:t>
            </m:r>
          </m:e>
          <m:sub>
            <m:r>
              <m:t>retr</m:t>
            </m:r>
          </m:sub>
        </m:sSub>
        <m:r>
          <m:t xml:space="preserve">(q) + </m:t>
        </m:r>
        <m:sSup>
          <m:sSupPr/>
          <m:e>
            <m:r>
              <m:t>O(</m:t>
            </m:r>
            <m:r>
              <m:t>∣q∣ + ∣</m:t>
            </m:r>
            <m:sSub>
              <m:sSubPr/>
              <m:e>
                <m:r>
                  <m:t>D</m:t>
                </m:r>
              </m:e>
              <m:sub>
                <m:r>
                  <m:t>raw</m:t>
                </m:r>
              </m:sub>
            </m:sSub>
            <m:r>
              <m:t>∣)</m:t>
            </m:r>
          </m:e>
          <m:sup>
            <m:r>
              <m:t>2</m:t>
            </m:r>
          </m:sup>
        </m:sSup>
        <m:r>
          <m:t xml:space="preserve"> + (</m:t>
        </m:r>
        <m:r>
          <m:t>∣</m:t>
        </m:r>
        <m:sSub>
          <m:sSubPr/>
          <m:e>
            <m:r>
              <m:t>Z</m:t>
            </m:r>
          </m:e>
          <m:sub>
            <m:r>
              <m:t>CoT</m:t>
            </m:r>
          </m:sub>
        </m:sSub>
        <m:r>
          <m:t>∣ + ∣</m:t>
        </m:r>
        <m:sSub>
          <m:sSubPr/>
          <m:e>
            <m:r>
              <m:t>Y</m:t>
            </m:r>
          </m:e>
          <m:sub>
            <m:r>
              <m:t>out</m:t>
            </m:r>
          </m:sub>
        </m:sSub>
        <m:r>
          <m:t xml:space="preserve">∣) · </m:t>
        </m:r>
        <m:sSub>
          <m:sSubPr/>
          <m:e>
            <m:r>
              <m:t>τ</m:t>
            </m:r>
          </m:e>
          <m:sub>
            <m:r>
              <m:t>dec</m:t>
            </m:r>
          </m:sub>
        </m:sSub>
        <m:r>
          <m:t>(</m:t>
        </m:r>
        <m:sSub>
          <m:sSubPr/>
          <m:e>
            <m:r>
              <m:t>Θ</m:t>
            </m:r>
          </m:e>
          <m:sub>
            <m:r>
              <m:t>oracle</m:t>
            </m:r>
          </m:sub>
        </m:sSub>
        <m:r>
          <m:t>)</m:t>
        </m:r>
      </m:oMath>
      <w:r>
        <w:rPr>
          <w:rFonts w:ascii="Times New Roman" w:cs="Times New Roman" w:eastAsia="SimSun" w:hAnsi="Times New Roman"/>
          <w:sz w:val="24"/>
          <w:szCs w:val="24"/>
        </w:rPr>
        <w:t xml:space="preserve">	(1)</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where </w:t>
      </w:r>
      <w:r>
        <w:rPr>
          <w:rFonts w:ascii="Times New Roman" w:cs="Times New Roman" w:eastAsia="SimSun" w:hAnsi="Times New Roman"/>
          <w:b w:val="false"/>
          <w:bCs w:val="false"/>
          <w:i/>
          <w:iCs/>
          <w:color w:val="000000"/>
          <w:sz w:val="24"/>
          <w:szCs w:val="24"/>
          <w:rtl w:val="false"/>
        </w:rPr>
        <w:t xml:space="preserve">D</w:t>
      </w:r>
      <w:r>
        <w:rPr>
          <w:rFonts w:ascii="Times New Roman" w:cs="Times New Roman" w:eastAsia="SimSun" w:hAnsi="Times New Roman"/>
          <w:b w:val="false"/>
          <w:bCs w:val="false"/>
          <w:i/>
          <w:iCs/>
          <w:color w:val="000000"/>
          <w:sz w:val="24"/>
          <w:szCs w:val="24"/>
          <w:vertAlign w:val="subscript"/>
          <w:rtl w:val="false"/>
        </w:rPr>
        <w:t xml:space="preserve">raw</w:t>
      </w:r>
      <w:r>
        <w:rPr>
          <w:rFonts w:ascii="Times New Roman" w:cs="Times New Roman" w:eastAsia="SimSun" w:hAnsi="Times New Roman"/>
          <w:b w:val="false"/>
          <w:bCs w:val="false"/>
          <w:i w:val="false"/>
          <w:iCs w:val="false"/>
          <w:color w:val="000000"/>
          <w:sz w:val="24"/>
          <w:szCs w:val="24"/>
          <w:rtl w:val="false"/>
        </w:rPr>
        <w:t xml:space="preserve"> = {d</w:t>
      </w:r>
      <w:r>
        <w:rPr>
          <w:rFonts w:ascii="Times New Roman" w:cs="Times New Roman" w:eastAsia="SimSun" w:hAnsi="Times New Roman"/>
          <w:b w:val="false"/>
          <w:bCs w:val="false"/>
          <w:i w:val="false"/>
          <w:iCs w:val="false"/>
          <w:color w:val="000000"/>
          <w:sz w:val="24"/>
          <w:szCs w:val="24"/>
          <w:vertAlign w:val="subscript"/>
          <w:rtl w:val="false"/>
        </w:rPr>
        <w:t xml:space="preserve">1</w:t>
      </w:r>
      <w:r>
        <w:rPr>
          <w:rFonts w:ascii="Times New Roman" w:cs="Times New Roman" w:eastAsia="SimSun" w:hAnsi="Times New Roman"/>
          <w:b w:val="false"/>
          <w:bCs w:val="false"/>
          <w:i w:val="false"/>
          <w:iCs w:val="false"/>
          <w:color w:val="000000"/>
          <w:sz w:val="24"/>
          <w:szCs w:val="24"/>
          <w:rtl w:val="false"/>
        </w:rPr>
        <w:t xml:space="preserve">, …, d</w:t>
      </w:r>
      <w:r>
        <w:rPr>
          <w:rFonts w:ascii="Times New Roman" w:cs="Times New Roman" w:eastAsia="SimSun" w:hAnsi="Times New Roman"/>
          <w:b w:val="false"/>
          <w:bCs w:val="false"/>
          <w:i w:val="false"/>
          <w:iCs w:val="false"/>
          <w:color w:val="000000"/>
          <w:sz w:val="24"/>
          <w:szCs w:val="24"/>
          <w:vertAlign w:val="subscript"/>
          <w:rtl w:val="false"/>
        </w:rPr>
        <w:t xml:space="preserve">k</w:t>
      </w:r>
      <w:r>
        <w:rPr>
          <w:rFonts w:ascii="Times New Roman" w:cs="Times New Roman" w:eastAsia="SimSun" w:hAnsi="Times New Roman"/>
          <w:b w:val="false"/>
          <w:bCs w:val="false"/>
          <w:i w:val="false"/>
          <w:iCs w:val="false"/>
          <w:color w:val="000000"/>
          <w:sz w:val="24"/>
          <w:szCs w:val="24"/>
          <w:rtl w:val="false"/>
        </w:rPr>
        <w:t xml:space="preserve">} is the set of retrieved text documents, </w:t>
      </w:r>
      <w:r>
        <w:rPr>
          <w:rFonts w:ascii="Times New Roman" w:cs="Times New Roman" w:eastAsia="SimSun" w:hAnsi="Times New Roman"/>
          <w:b w:val="false"/>
          <w:bCs w:val="false"/>
          <w:i/>
          <w:iCs/>
          <w:color w:val="000000"/>
          <w:sz w:val="24"/>
          <w:szCs w:val="24"/>
          <w:rtl w:val="false"/>
        </w:rPr>
        <w:t xml:space="preserve">Z</w:t>
      </w:r>
      <w:r>
        <w:rPr>
          <w:rFonts w:ascii="Times New Roman" w:cs="Times New Roman" w:eastAsia="SimSun" w:hAnsi="Times New Roman"/>
          <w:b w:val="false"/>
          <w:bCs w:val="false"/>
          <w:i/>
          <w:iCs/>
          <w:color w:val="000000"/>
          <w:sz w:val="24"/>
          <w:szCs w:val="24"/>
          <w:vertAlign w:val="subscript"/>
          <w:rtl w:val="false"/>
        </w:rPr>
        <w:t xml:space="preserve">CoT</w:t>
      </w:r>
      <w:r>
        <w:rPr>
          <w:rFonts w:ascii="Times New Roman" w:cs="Times New Roman" w:eastAsia="SimSun" w:hAnsi="Times New Roman"/>
          <w:b w:val="false"/>
          <w:bCs w:val="false"/>
          <w:i w:val="false"/>
          <w:iCs w:val="false"/>
          <w:color w:val="000000"/>
          <w:sz w:val="24"/>
          <w:szCs w:val="24"/>
          <w:rtl w:val="false"/>
        </w:rPr>
        <w:t xml:space="preserve"> is the intermediate reasoning token sequence, </w:t>
      </w:r>
      <w:r>
        <w:rPr>
          <w:rFonts w:ascii="Times New Roman" w:cs="Times New Roman" w:eastAsia="SimSun" w:hAnsi="Times New Roman"/>
          <w:b w:val="false"/>
          <w:bCs w:val="false"/>
          <w:i/>
          <w:iCs/>
          <w:color w:val="000000"/>
          <w:sz w:val="24"/>
          <w:szCs w:val="24"/>
          <w:rtl w:val="false"/>
        </w:rPr>
        <w:t xml:space="preserve">Y</w:t>
      </w:r>
      <w:r>
        <w:rPr>
          <w:rFonts w:ascii="Times New Roman" w:cs="Times New Roman" w:eastAsia="SimSun" w:hAnsi="Times New Roman"/>
          <w:b w:val="false"/>
          <w:bCs w:val="false"/>
          <w:i/>
          <w:iCs/>
          <w:color w:val="000000"/>
          <w:sz w:val="24"/>
          <w:szCs w:val="24"/>
          <w:vertAlign w:val="subscript"/>
          <w:rtl w:val="false"/>
        </w:rPr>
        <w:t xml:space="preserve">out</w:t>
      </w:r>
      <w:r>
        <w:rPr>
          <w:rFonts w:ascii="Times New Roman" w:cs="Times New Roman" w:eastAsia="SimSun" w:hAnsi="Times New Roman"/>
          <w:b w:val="false"/>
          <w:bCs w:val="false"/>
          <w:i w:val="false"/>
          <w:iCs w:val="false"/>
          <w:color w:val="000000"/>
          <w:sz w:val="24"/>
          <w:szCs w:val="24"/>
          <w:rtl w:val="false"/>
        </w:rPr>
        <w:t xml:space="preserve"> is the final answer, and τ</w:t>
      </w:r>
      <w:r>
        <w:rPr>
          <w:rFonts w:ascii="Times New Roman" w:cs="Times New Roman" w:eastAsia="SimSun" w:hAnsi="Times New Roman"/>
          <w:b w:val="false"/>
          <w:bCs w:val="false"/>
          <w:i/>
          <w:iCs/>
          <w:color w:val="000000"/>
          <w:sz w:val="24"/>
          <w:szCs w:val="24"/>
          <w:vertAlign w:val="subscript"/>
          <w:rtl w:val="false"/>
        </w:rPr>
        <w:t xml:space="preserve">dec</w:t>
      </w:r>
      <w:r>
        <w:rPr>
          <w:rFonts w:ascii="Times New Roman" w:cs="Times New Roman" w:eastAsia="SimSun" w:hAnsi="Times New Roman"/>
          <w:b w:val="false"/>
          <w:bCs w:val="false"/>
          <w:i w:val="false"/>
          <w:iCs w:val="false"/>
          <w:color w:val="000000"/>
          <w:sz w:val="24"/>
          <w:szCs w:val="24"/>
          <w:rtl w:val="false"/>
        </w:rPr>
        <w:t xml:space="preserve">(Θ</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is the per-token decode time of the oracle model with parameters Θ</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dominated by memory-bandwidth transfers of model weights [6]. Equation (1) exposes three structural inefficiencies, each of which has been studied in isolation but not yet unified within a single serving architecture.</w:t>
      </w:r>
    </w:p>
    <w:p>
      <w:pPr>
        <w:keepNext w:val="false"/>
        <w:bidi w:val="false"/>
        <w:spacing w:after="60" w:before="0" w:line="360"/>
        <w:ind w:firstLine="360"/>
        <w:jc w:val="both"/>
      </w:pPr>
      <w:r>
        <w:rPr>
          <w:rFonts w:ascii="Times New Roman" w:cs="Times New Roman" w:eastAsia="SimSun" w:hAnsi="Times New Roman"/>
          <w:b/>
          <w:bCs/>
          <w:i w:val="false"/>
          <w:iCs w:val="false"/>
          <w:color w:val="000000"/>
          <w:sz w:val="24"/>
          <w:szCs w:val="24"/>
          <w:rtl w:val="false"/>
        </w:rPr>
        <w:t xml:space="preserve">Context bloat and prefix-cache invalidation. </w:t>
      </w:r>
      <w:r>
        <w:rPr>
          <w:rFonts w:ascii="Times New Roman" w:cs="Times New Roman" w:eastAsia="SimSun" w:hAnsi="Times New Roman"/>
          <w:b w:val="false"/>
          <w:bCs w:val="false"/>
          <w:i w:val="false"/>
          <w:iCs w:val="false"/>
          <w:color w:val="000000"/>
          <w:sz w:val="24"/>
          <w:szCs w:val="24"/>
          <w:rtl w:val="false"/>
        </w:rPr>
        <w:t xml:space="preserve">Natural language carries substantial syntactic redundancy, so raw retrieved documents contribute many tokens that carry little decision-relevant signal; moreover, long contexts are known to degrade retrieval fidelity inside the model itself [23]. Because the ordering of retrieved documents changes from query to query, standard prefix-caching mechanisms — which reuse KV states only for identical position-aligned prefixes — are invalidated after the first divergent document. This position dependence is a direct consequence of rotary position embeddings (RoPE) [2] and the causal attention mask, and it has motivated recent position-agnostic KV-reuse schemes that require selective re-computation of attention between cached segments [8, 9]. The cost of the quadratic pre-fill term in Equation (1) therefore recurs for almost every request in multi-document RAG traffic.</w:t>
      </w:r>
    </w:p>
    <w:p>
      <w:pPr>
        <w:keepNext w:val="false"/>
        <w:bidi w:val="false"/>
        <w:spacing w:after="60" w:before="0" w:line="360"/>
        <w:ind w:firstLine="360"/>
        <w:jc w:val="both"/>
      </w:pPr>
      <w:r>
        <w:rPr>
          <w:rFonts w:ascii="Times New Roman" w:cs="Times New Roman" w:eastAsia="SimSun" w:hAnsi="Times New Roman"/>
          <w:b/>
          <w:bCs/>
          <w:i w:val="false"/>
          <w:iCs w:val="false"/>
          <w:color w:val="000000"/>
          <w:sz w:val="24"/>
          <w:szCs w:val="24"/>
          <w:rtl w:val="false"/>
        </w:rPr>
        <w:t xml:space="preserve">Isomorphic reasoning redundancy. </w:t>
      </w:r>
      <w:r>
        <w:rPr>
          <w:rFonts w:ascii="Times New Roman" w:cs="Times New Roman" w:eastAsia="SimSun" w:hAnsi="Times New Roman"/>
          <w:b w:val="false"/>
          <w:bCs w:val="false"/>
          <w:i w:val="false"/>
          <w:iCs w:val="false"/>
          <w:color w:val="000000"/>
          <w:sz w:val="24"/>
          <w:szCs w:val="24"/>
          <w:rtl w:val="false"/>
        </w:rPr>
        <w:t xml:space="preserve">In rule-governed domains — contract and SLA auditing, financial-regulation compliance, technical incident diagnosis — the space of surface problems is unbounded, but the space of decision topologies is small, finite, and highly repetitive. A payment-delay dispute and a delivery-penalty dispute may differ in every literal token while sharing an identical reasoning skeleton. Existing semantic caches for LLM workloads [11] retrieve by embedding similarity of raw text; they cannot recognise logical isomorphism, and worse, they may return a structurally similar but normatively incompatible pattern, producing confident yet invalid answers. Consequently, the pipeline regenerates thousands of near-identical CoT tokens [4, 5] for problems whose reasoning structure has already been solved before.</w:t>
      </w:r>
    </w:p>
    <w:p>
      <w:pPr>
        <w:keepNext w:val="false"/>
        <w:bidi w:val="false"/>
        <w:spacing w:after="60" w:before="0" w:line="360"/>
        <w:ind w:firstLine="360"/>
        <w:jc w:val="both"/>
      </w:pPr>
      <w:r>
        <w:rPr>
          <w:rFonts w:ascii="Times New Roman" w:cs="Times New Roman" w:eastAsia="SimSun" w:hAnsi="Times New Roman"/>
          <w:b/>
          <w:bCs/>
          <w:i w:val="false"/>
          <w:iCs w:val="false"/>
          <w:color w:val="000000"/>
          <w:sz w:val="24"/>
          <w:szCs w:val="24"/>
          <w:rtl w:val="false"/>
        </w:rPr>
        <w:t xml:space="preserve">Token-level entropy asymmetry. </w:t>
      </w:r>
      <w:r>
        <w:rPr>
          <w:rFonts w:ascii="Times New Roman" w:cs="Times New Roman" w:eastAsia="SimSun" w:hAnsi="Times New Roman"/>
          <w:b w:val="false"/>
          <w:bCs w:val="false"/>
          <w:i w:val="false"/>
          <w:iCs w:val="false"/>
          <w:color w:val="000000"/>
          <w:sz w:val="24"/>
          <w:szCs w:val="24"/>
          <w:rtl w:val="false"/>
        </w:rPr>
        <w:t xml:space="preserve">Empirically, the conditional token distributions of language models are sharply peaked for most positions: entropy-rate studies [19] and analyses of neural text degeneration [20] show that a large fraction of generated tokens are near-deterministic continuations. This is precisely the observation exploited by speculative decoding, where a small draft model proposes tokens that the large model accepts in roughly 70–85% of positions [12, 13]. Routing every token — including trivially predictable syntactic glue — through the oracle model Θ</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is therefore a systematic waste of memory bandwidth and accelerator time; the oracle is genuinely needed only at the small number of high-entropy branch points where the decision direction is undetermined.</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1.2 Approach and Contributions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SCRS addresses the three inefficiencies simultaneously and within one typed contract discipline, rather than as three independent optimisations. The architecture is organised as three orthogonal tiers connected by explicit data contracts: an index-time compiler that produces symbolic propositional capsules and reusable KV states; a hardened just-in-time (JIT) reasoning layer that retrieves, validates, and deterministically executes compiled decision graphs; and a token-level co-processor that renders the verified result with a small local model and escalates to the oracle only at measured uncertainty spikes. The contributions are as follows.</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C1. </w:t>
      </w:r>
      <w:r>
        <w:rPr>
          <w:rFonts w:ascii="Times New Roman" w:cs="Times New Roman" w:eastAsia="SimSun" w:hAnsi="Times New Roman"/>
          <w:b w:val="false"/>
          <w:bCs w:val="false"/>
          <w:i w:val="false"/>
          <w:iCs w:val="false"/>
          <w:color w:val="000000"/>
          <w:sz w:val="24"/>
          <w:szCs w:val="24"/>
          <w:rtl w:val="false"/>
        </w:rPr>
        <w:t xml:space="preserve">Index-time propositional compilation. A representation that compiles raw documents into typed symbolic capsules (predicates, typed key–value facts, timestamps, and provenance), together with an information-preservation invariant that scopes exactly which question families the capsule set is required to answer (Section 4).</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C2. </w:t>
      </w:r>
      <w:r>
        <w:rPr>
          <w:rFonts w:ascii="Times New Roman" w:cs="Times New Roman" w:eastAsia="SimSun" w:hAnsi="Times New Roman"/>
          <w:b w:val="false"/>
          <w:bCs w:val="false"/>
          <w:i w:val="false"/>
          <w:iCs w:val="false"/>
          <w:color w:val="000000"/>
          <w:sz w:val="24"/>
          <w:szCs w:val="24"/>
          <w:rtl w:val="false"/>
        </w:rPr>
        <w:t xml:space="preserve">Position-decoupled KV states. A capsule-level KV pre-computation scheme that stores pre-RoPE key vectors and applies position rotations at load time, so that per-request capsule loading reduces to a lightweight rotation plus a metered selective cross-attention re-computation for cache fusion — a reduction with two explicitly priced residuals, not an elimination of pre-fill cost (Section 4.3).</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C3. </w:t>
      </w:r>
      <w:r>
        <w:rPr>
          <w:rFonts w:ascii="Times New Roman" w:cs="Times New Roman" w:eastAsia="SimSun" w:hAnsi="Times New Roman"/>
          <w:b w:val="false"/>
          <w:bCs w:val="false"/>
          <w:i w:val="false"/>
          <w:iCs w:val="false"/>
          <w:color w:val="000000"/>
          <w:sz w:val="24"/>
          <w:szCs w:val="24"/>
          <w:rtl w:val="false"/>
        </w:rPr>
        <w:t xml:space="preserve">Hardened isomorphic reasoning JIT. A compiled decision-graph format with canonical serialisation, a separation between topology hashing and template-identity hashing, a transfer-compatibility gate over domain, jurisdiction, adapter version, tenant sharing scope, transfer licence, preconditions, exclusions, and evidence admissibility, and a deterministic predicate runtime with statically validated acyclicity and typed symbol binding (Section 5).</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C4. </w:t>
      </w:r>
      <w:r>
        <w:rPr>
          <w:rFonts w:ascii="Times New Roman" w:cs="Times New Roman" w:eastAsia="SimSun" w:hAnsi="Times New Roman"/>
          <w:b w:val="false"/>
          <w:bCs w:val="false"/>
          <w:i w:val="false"/>
          <w:iCs w:val="false"/>
          <w:color w:val="000000"/>
          <w:sz w:val="24"/>
          <w:szCs w:val="24"/>
          <w:rtl w:val="false"/>
        </w:rPr>
        <w:t xml:space="preserve">Entropy-interrupt co-processing. A token-level routing scheme in which a small local model performs high-speed rendering, a dual criterion (Top-K Shannon entropy and confidence margin) triggers hard interrupts, and the oracle injects a small number of anchor tokens that collapse the small model's conditional entropy (Section 6).</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C5. </w:t>
      </w:r>
      <w:r>
        <w:rPr>
          <w:rFonts w:ascii="Times New Roman" w:cs="Times New Roman" w:eastAsia="SimSun" w:hAnsi="Times New Roman"/>
          <w:b w:val="false"/>
          <w:bCs w:val="false"/>
          <w:i w:val="false"/>
          <w:iCs w:val="false"/>
          <w:color w:val="000000"/>
          <w:sz w:val="24"/>
          <w:szCs w:val="24"/>
          <w:rtl w:val="false"/>
        </w:rPr>
        <w:t xml:space="preserve">Formal analysis. Halting and determinism guarantees for the Tier II runtime (Theorem 1), a conditional-entropy collapse property of anchor injection under explicit assumptions (Proposition 1), and an honest expected-cost model that includes miss, bail-out, anchor-window (with re-sent input tokens), and fallback terms (Theorem 2, Equations (17)–(20)) (Section 7).</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C6. </w:t>
      </w:r>
      <w:r>
        <w:rPr>
          <w:rFonts w:ascii="Times New Roman" w:cs="Times New Roman" w:eastAsia="SimSun" w:hAnsi="Times New Roman"/>
          <w:b w:val="false"/>
          <w:bCs w:val="false"/>
          <w:i w:val="false"/>
          <w:iCs w:val="false"/>
          <w:color w:val="000000"/>
          <w:sz w:val="24"/>
          <w:szCs w:val="24"/>
          <w:rtl w:val="false"/>
        </w:rPr>
        <w:t xml:space="preserve">Reference implementation and reproducibility protocol. A pinned reference stack, fixed seeds and thresholds, a complete pipeline algorithm with bounded control flow and answer–trace consistency validation, and a benchmark design with adversarial cross-domain and stale-evidence traps; a released script regenerates every projected number in Section 9 from its stated inputs, and all performance figures in this paper are clearly labelled as analytical projections, not deployment measurements (Sections 8 and 9).</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1.3 Scope and Positioning</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To keep the claims of this paper verifiable, we state explicitly what SCRS is not. It is not a replacement for large reasoning models: whenever no verified pattern matches, or evidence is stale, the system falls back to the oracle and pays its full price, and the honest cost model of Section 7 quantifies exactly this regime. It is not a lossless decoding scheme: unlike speculative decoding with rejection sampling [12, 13], anchor tokens produced by the oracle are accepted unconditionally, so the rendered output distribution is not identical to the oracle's distribution; Section 6.3 discusses this trade-off and an optional verification mode. Finally, all quantitative end-to-end figures reported in Section 9 are projections of the analytical cost model under stated assumptions; they are intended to make the design-space structure falsifiable and testable, and the paper provides the protocol under which they should be confirmed or refuted. We regard this separation between architecture guarantees (provable), cost behaviour (projectable), and quality effects (hypotheses requiring measurement) as a methodological contribution in its own right.</w:t>
      </w:r>
    </w:p>
    <w:p>
      <w:pPr>
        <w:keepNext w:val="false"/>
        <w:bidi w:val="false"/>
        <w:spacing w:after="60" w:before="0" w:line="360"/>
        <w:ind w:firstLine="360"/>
        <w:jc w:val="both"/>
      </w:pPr>
      <w:r>
        <w:rPr>
          <w:rFonts w:ascii="Times New Roman" w:cs="Times New Roman" w:eastAsia="SimSun" w:hAnsi="Times New Roman"/>
          <w:b/>
          <w:bCs/>
          <w:i w:val="false"/>
          <w:iCs w:val="false"/>
          <w:color w:val="000000"/>
          <w:sz w:val="24"/>
          <w:szCs w:val="24"/>
          <w:rtl w:val="false"/>
        </w:rPr>
        <w:t xml:space="preserve">A note on deployment context. </w:t>
      </w:r>
      <w:r>
        <w:rPr>
          <w:rFonts w:ascii="Times New Roman" w:cs="Times New Roman" w:eastAsia="SimSun" w:hAnsi="Times New Roman"/>
          <w:b w:val="false"/>
          <w:bCs w:val="false"/>
          <w:i w:val="false"/>
          <w:iCs w:val="false"/>
          <w:color w:val="000000"/>
          <w:sz w:val="24"/>
          <w:szCs w:val="24"/>
          <w:rtl w:val="false"/>
        </w:rPr>
        <w:t xml:space="preserve">SCRS is being developed by the author as the serving infrastructure for Oxenn, a multi-tenant SEO/AEO/GEO SaaS platform. No measurement from that deployment appears in this paper: the projection of Section 9 is derived exclusively from published component measurements and the stated assumptions of Section 9.1, and a technical case study of the deployment — including which components are implemented and which remain design proposals — is deliberately outside the scope of this article and left to future work. The multi-tenant aspects of the architecture (tenant-scoped identity, admission, storage, and logs) are specified in Sections 5.2, 5.3, and 5.6.</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1.4 Paper Organisation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Section 2 reviews related work. Section 3 states the design principles and gives an architectural overview. Sections 4–6 specify the three tiers. Section 7 presents the formal analysis, and Section 8 documents the reference implementation and reproducibility protocol. Section 9 develops the illustrative projection and the validation plan. Section 10 discusses limitations and threats to validity, and Section 11 concludes. Appendix A contains the full proofs, and Appendix B gives the capsule schema and the predicate grammar.</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2. Background and Related Work</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2.1 Autoregressive Decoding and Speculative Verification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Autoregressive decoding of transformer language models [1] is memory-bandwidth bound: generating one token requires streaming the full parameter set through the accelerator [6]. Speculative decoding [12] and its rejection-sampling formulation [13] amortise this cost by letting a small draft model propose multi-token spans that the large model verifies in parallel, accepting spans with probability one under the large model's distribution. Subsequent work broadens the mechanism: Big Little Decoder decouples draft and verify scopes [14]; Medusa augments the target model with multiple decoding heads [15]; EAGLE drafts at the feature level [16]; LayerSkip enables self-speculation with early-exit layers [17]; and SpecDec++ adaptively controls draft length with a trained stopping head [18]. The line has continued to advance through 2024–2025: EAGLE-2 exploits the calibration of the draft model to grow context-aware dynamic draft trees [31], and EAGLE-3 replaces top-layer feature prediction with a fused multi-level representation trained through a training-time test procedure [32]. In parallel, the economics of reasoning models have shifted attention from per-token acceptance towards the length of deliberation itself: Snell et al. show that optimally scaled test-time compute can outperform parameter scaling [33], and deliberation trajectories have grown correspondingly longer [5] — mechanically increasing the number of near-deterministic tokens a serving system must process. Theoretical work on entropy rates of calibrated language models [19] and the peakedness of their next-token distributions [20] explains why draft acceptance rates are high for most positions. All of these methods, however, accelerate a fixed two-model pair at token granularity. SCRS retains the small–large division of labour but moves the granularity of reuse upward: entire reasoning structures are cached and replayed deterministically, and token-level escalation is reserved for measured uncertainty spikes rather than uniformly applied.</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2.2 KV-Cache Management and Prefix Reuse</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PagedAttention [6] made KV memory a first-class, paged resource; SGLang's RadixAttention [7] organises prefix KV reuse in a radix tree and demonstrated large speed-ups for shared prefixes; Prompt Cache [8] generalises reuse to pre-computed, reusable attention modules with explicitly marked schema fields; CacheBlend [9] recombines multiple cached KV segments non-prefix-ly and corrects their mutual attention by selectively re-computing the KV values of a small subset of tokens (about 15% in its evaluation); CacheGen [10] compresses and streams KV caches to remote decoders; and follow-up attention-aware fusion policies building on CacheBlend are already appearing. An architecture-level parallel response to KV pressure is to shrink the cache itself: SnapKV compresses the KV of the observation window before generation via clustered selection [38], and the multi-head latent attention of DeepSeek-V2 cuts the KV footprint by an order of magnitude through a shared latent compression [39]. Closest to Tier I of SCRS, a family of RAG-specific caches has recently emerged: RAGCache organises the KV states of retrieved knowledge in a multi-level knowledge tree aligned with retrieval patterns [40], and TurboRAG pre-computes and stores the KV caches of document chunks offline so that online pre-fill reduces to cache retrieval [41]. All of these systems, however, persist the token-level KV of raw or chunked text. SCRS is complementary: its capsules persist pre-RoPE key states so that position-dependent rotation can be deferred to load time — a design point adjacent to Prompt Cache [8], CacheBlend [9], and TurboRAG [41] — while the higher-level decision logic is compiled separately into symbolic graphs that no KV-level mechanism can express.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2.3 Disaggregated and KV-Centric Serving Infrastructure</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Orthogonal to the question of what is cached, recent serving systems have restructured where and how the phases of inference execute. DistServe disaggregates pre-fill and decoding onto separate GPU pools and co-optimises the per-phase resource allocation against TTFT/TPOT goodput targets [34]; Sarathi-Serve reconciles throughput with tail latency through chunked pre-fills and stall-free hybrid batching [35]; Mooncake, the serving platform behind Kimi, treats the KV cache itself as a first-class, cluster-wide resource managed by a KVCache-centric scheduler over disaggregated CPU, DRAM, and SSD pools [36]; and Preble adds global, distributed scheduling for prompt sharing across instances [37]. SCRS is designed to be composable with this infrastructure line rather than to compete with it: its contributions sit above the scheduler — typed capsules, symbolic graphs, and the escalation policy — and can be deployed on top of disaggregated or chunked-prefill backends, since Tier I storage is logically a shared KV pool with position-decoupled entries, exactly the resource class that Mooncake-style architectures centralise [36]. What SCRS adds to this line is the symbolic contract layer: none of these systems can decide whether a reused KV state is semantically admissible for the current query, which is the problem the transfer gate of Section 5.3 addresses.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2.4 Semantic Caching and Its Failure Modes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GPTCache [11] popularised embedding-similarity caching of prompt–response pairs for LLM applications, and cascade/routing systems such as FrugalGPT [24] and RouteLLM [25] choose between cheap and expensive models per query. The documented weakness of similarity-only caching is that embedding closeness is neither necessary nor sufficient for answer equivalence: two lexically close queries may fall under incompatible normative regimes, while two lexically distant queries may share one reasoning structure. SCRS adopts a strict defence-in-depth stance: vector retrieval (an HNSW index [26]) only nominates candidates; acceptance is decided by an explicit compatibility gate over domain identity, jurisdiction, adapter version, preconditions, and exclusions (Section 5.3), and execution itself is deterministic, so an accepted pattern cannot silently deviate from its compiled semantics.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2.5 Context Compression for Retrieval-Augmented Generation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RAG grounds generation in retrieved evidence [3], but injected raw text inflates pre-fill quadratically and dilutes attention [23]. Prompt-compression systems attack this at the token level: LLMLingua removes low-information tokens with a small scorer [21], LongLLMLingua adds question-aware coarse-to-fine compression for long documents [22], and LLMLingua-2 distils task-specific compression from LLM-annotated corpora as a token-classification problem [42]. Self-RAG [30] trains the model to critique and retrieve adaptively. These approaches compress inside the language representation. SCRS instead compresses across representations: at index time, documents are compiled into typed propositional capsules whose semantics are validated once, and only capsules — not raw prose — are ever re-loaded at request time. The two families are composable, since a capsule store can also serve as a compressed evidence source for token-level compressors.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2.6 Structured and Constrained Execution of LLM Pipelines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Grammar-constrained decoding [27] guarantees syntactic well-formedness of generated artefacts by masking logits against a formal grammar; SGLang [7] executes structured programs that interleave prompts, parallelism, and control flow; agentic frameworks such as ReAct [29] interleave reasoning traces with tool calls; and the programming-languages line compiles the orchestration itself — DSPy compiles declarative pipeline specifications into optimised prompt programs [43], and LMQL embeds constrained generation in a query language with typed variables [44]. These systems compile the format of outputs or the orchestration around a model. SCRS differs in what is compiled: not the output format and not the orchestration, but the decision procedure itself. The compiled pattern is an acyclic typed decision graph whose predicate language is deliberately restricted (Section 5.4), which is exactly what enables the halting, determinism, and soundness guarantees of Section 7 — properties that free-form agent traces and prompt-level programs do not carry.</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2.7 Neuro-Symbolic Reasoning and Reusable Thought Structures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Pairing neural generation with symbolic machinery has a long lineage: Garcez and Lamb frame neuro-symbolic integration as the third wave of AI and argue that compositionality and interpretability require explicit symbolic structure [45]. Within LLM systems, Logic-LM routes logical queries to external symbolic solvers, showing that faithfulness improves when the model delegates formal inference [46], and Buffer of Thoughts distils reusable thought-templates into a meta-buffer that is retrieved and adaptively instantiated per problem — the closest published relative of SCRS's compiled patterns at the prompting level [47]. Each of these systems, however, operates as a prompting or framework layer above an unmodified serving stack: template retrieval is text-level, execution is delegated back to the LLM itself, and no serving-grade contract exists for when a stored structure may be transferred to a new query. SCRS inherits the reuse instinct of this line but relocates it into the serving architecture proper — compiled decision graphs with static acyclicity validation, a hard transfer-compatibility gate, a deterministic predicate runtime with halting and determinism proofs, and explicit cost accounting for the fallback regime.</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2.8 Research Gap</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In summary, existing systems accelerate tokens (speculative decoding [12–18, 31, 32]), reuse or disaggregate token representations (KV caching and serving infrastructure [6–10, 34–41]), cache raw exchanges (semantic caching [11]), compress prompts (token pruning [21, 22, 42]), structure outputs or orchestration (constrained decoding and pipeline compilation [27, 43, 44]), or reuse abstract reasoning sketches above an unmodified stack (neuro-symbolic and template methods [46, 47]). The gap has persisted through 2025–2026: serving costs have grown with the test-time deliberation of reasoning models [5, 33], KV-level fusion has matured into peer-reviewed serving systems [9] and KV-centric cluster architectures [36], and routing and cascading frameworks remain token- and request-level [24, 25] — yet no published serving architecture, to our knowledge, unifies index-time symbolic compilation of the evidence base, hardened reuse of complete reasoning structures under an explicit transfer-safety contract, and entropy-driven escalation between a local small model and an oracle — with formal execution guarantees and an honest cost accounting of the fallback regime. SCRS is designed to occupy precisely this gap.</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3. System Overview and Design Principles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3.1 Design Principles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Four principles govern every component of SCRS, and each exists to eliminate a specific class of failure observed in ad-hoc LLM serving stacks. They are stated here because the formal guarantees of Section 7 refer back to them.</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P1 — Typed data contracts. </w:t>
      </w:r>
      <w:r>
        <w:rPr>
          <w:rFonts w:ascii="Times New Roman" w:cs="Times New Roman" w:eastAsia="SimSun" w:hAnsi="Times New Roman"/>
          <w:b w:val="false"/>
          <w:bCs w:val="false"/>
          <w:i w:val="false"/>
          <w:iCs w:val="false"/>
          <w:color w:val="000000"/>
          <w:sz w:val="24"/>
          <w:szCs w:val="24"/>
          <w:rtl w:val="false"/>
        </w:rPr>
        <w:t xml:space="preserve">Every interface between tiers carries explicitly typed payloads: capsules with typed key–value fields, decision graphs with a typed symbol table, traces with typed node verdicts. Untyped string plumbing is excluded by construction. Typed contracts are what make static validation, provenance tracking, and deterministic re-execution possible; they play the role that intermediate representations play in compilers.</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P2 — Retrieval is not acceptance. </w:t>
      </w:r>
      <w:r>
        <w:rPr>
          <w:rFonts w:ascii="Times New Roman" w:cs="Times New Roman" w:eastAsia="SimSun" w:hAnsi="Times New Roman"/>
          <w:b w:val="false"/>
          <w:bCs w:val="false"/>
          <w:i w:val="false"/>
          <w:iCs w:val="false"/>
          <w:color w:val="000000"/>
          <w:sz w:val="24"/>
          <w:szCs w:val="24"/>
          <w:rtl w:val="false"/>
        </w:rPr>
        <w:t xml:space="preserve">Vector similarity (an HNSW index [26]) may only nominate candidates. Admission to automatic execution requires an independent, hard compatibility gate over domain identity, jurisdiction, adapter version, tenant sharing scope, transfer licence, preconditions, and exclusions (Section 5.3). This separation prevents the well-documented false-positive transfers of embedding-only semantic caches [11] from reaching the execution stage, let alone the user.</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P3 — Fail-safe fallback. </w:t>
      </w:r>
      <w:r>
        <w:rPr>
          <w:rFonts w:ascii="Times New Roman" w:cs="Times New Roman" w:eastAsia="SimSun" w:hAnsi="Times New Roman"/>
          <w:b w:val="false"/>
          <w:bCs w:val="false"/>
          <w:i w:val="false"/>
          <w:iCs w:val="false"/>
          <w:color w:val="000000"/>
          <w:sz w:val="24"/>
          <w:szCs w:val="24"/>
          <w:rtl w:val="false"/>
        </w:rPr>
        <w:t xml:space="preserve">Any anomaly — a missing symbol, an expired piece of evidence, a violated precondition, a graph that fails static validation — halts the fast path and routes the request to the oracle with explicitly marked fallback payloads. The system never silently degrades: a bail-out is a visible, logged, and metered event, and its expected cost is a first-class term in the cost model of Section 7.</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P4 — Honest telemetry. </w:t>
      </w:r>
      <w:r>
        <w:rPr>
          <w:rFonts w:ascii="Times New Roman" w:cs="Times New Roman" w:eastAsia="SimSun" w:hAnsi="Times New Roman"/>
          <w:b w:val="false"/>
          <w:bCs w:val="false"/>
          <w:i w:val="false"/>
          <w:iCs w:val="false"/>
          <w:color w:val="000000"/>
          <w:sz w:val="24"/>
          <w:szCs w:val="24"/>
          <w:rtl w:val="false"/>
        </w:rPr>
        <w:t xml:space="preserve">Every oracle token consumed — reasoning, fallback, and anchor tokens alike — is attributed to the request that caused it. Performance reporting may not exclude guard overheads or bail-out costs. This principle is the reason Section 9 can be explicit about which numbers are projections and which assumptions they rest 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3.2 Architectural Overview</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Figure 1 depicts the three tiers and their contracts. The index-time tier runs once per document: raw text is compiled into typed propositional capsules, which are stored both as symbolic records and as position-decoupled KV states, and indexed for retrieval. The request-time tier runs once per query: the query is mapped to a typed problem structure, structurally isomorphic reasoning patterns are retrieved, and admitted patterns are executed to completion on a deterministic predicate runtime, yielding a verified execution trace. The token-time tier runs once per output token: a local small model renders the trace into prose, monitors its own uncertainty, and escalates to the oracle only at high-entropy branch points.</w:t>
      </w:r>
    </w:p>
    <w:p>
      <w:pPr>
        <w:keepNext/>
        <w:spacing w:after="60" w:before="160"/>
        <w:jc w:val="center"/>
      </w:pPr>
      <w:r>
        <w:drawing>
          <wp:inline distT="0" distB="0" distL="0" distR="0">
            <wp:extent cx="5334000" cy="3000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before="60" w:line="300"/>
        <w:jc w:val="center"/>
      </w:pPr>
      <w:r>
        <w:rPr>
          <w:rFonts w:ascii="Times New Roman" w:cs="Times New Roman" w:eastAsia="SimSun" w:hAnsi="Times New Roman"/>
          <w:b/>
          <w:bCs/>
          <w:i w:val="false"/>
          <w:iCs w:val="false"/>
          <w:color w:val="000000"/>
          <w:sz w:val="21"/>
          <w:szCs w:val="21"/>
          <w:rtl w:val="false"/>
        </w:rPr>
        <w:t xml:space="preserve">Figure 1. </w:t>
      </w:r>
      <w:r>
        <w:rPr>
          <w:rFonts w:ascii="Times New Roman" w:cs="Times New Roman" w:eastAsia="SimSun" w:hAnsi="Times New Roman"/>
          <w:b w:val="false"/>
          <w:bCs w:val="false"/>
          <w:i w:val="false"/>
          <w:iCs w:val="false"/>
          <w:color w:val="000000"/>
          <w:sz w:val="21"/>
          <w:szCs w:val="21"/>
          <w:rtl w:val="false"/>
        </w:rPr>
        <w:t xml:space="preserve">The SCRS three-tier architecture. Solid boxes are deterministic components; dashed red boxes are oracle (large-model) invocations, which are the only unbounded-cost paths in the system.</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 complete request proceeds as follows. (a) The structural extractor (a small model at temperature 0) converts the user query into a typed problem structure containing a canonical signature, a symbol table, and evidence intents. (b) The signature is embedded and issued against the pattern index; the top-k candidates are ranked by cosine similarity. (c) Each candidate in turn must pass the transfer-compatibility gate; the first admissible candidate is selected, otherwise the system falls back. (d) The selected graph's evidence specification is resolved against the capsule store, with freshness and confidence checks. (e) The predicate runtime executes the graph deterministically, producing either a completed verified trace or a typed HALTED_* verdict (which triggers fallback). (f) The trace and capsules are rendered by the local model under entropy-interrupt control. (g) The rendered answer is validated for consistency against the verified trace before it is returned (Section 6.4); a mismatch triggers template-based repair or fallback. (h) Telemetry records the path taken, the tokens consumed per component, and every guard decision. The remainder of the paper specifies each of these steps.</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4. Tier I: Index-Time Symbolic Propositional Capsules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4.1 Capsule Formalisation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Let d be a raw document of length |d| tokens. The index-time compiler K maps d to a typed capsule c, a structured record rather than a token sequence:</w:t>
      </w:r>
    </w:p>
    <w:p>
      <w:pPr>
        <w:tabs>
          <w:tab w:val="center" w:pos="4394"/>
          <w:tab w:val="right" w:pos="8788"/>
        </w:tabs>
        <w:spacing w:after="120" w:before="120" w:line="360"/>
      </w:pPr>
      <w:r>
        <w:t xml:space="preserve">	</w:t>
      </w:r>
      <m:oMath>
        <m:r>
          <m:t xml:space="preserve">c = ( </m:t>
        </m:r>
        <m:sSub>
          <m:sSubPr/>
          <m:e>
            <m:r>
              <m:t>doc</m:t>
            </m:r>
          </m:e>
          <m:sub>
            <m:r>
              <m:t>id</m:t>
            </m:r>
          </m:sub>
        </m:sSub>
        <m:r>
          <m:t xml:space="preserve"> , </m:t>
        </m:r>
        <m:sSub>
          <m:sSubPr/>
          <m:e>
            <m:r>
              <m:t>source</m:t>
            </m:r>
          </m:e>
          <m:sub>
            <m:r>
              <m:t>type</m:t>
            </m:r>
          </m:sub>
        </m:sSub>
        <m:r>
          <m:t xml:space="preserve"> , </m:t>
        </m:r>
        <m:sSub>
          <m:sSubPr/>
          <m:e>
            <m:r>
              <m:t>t</m:t>
            </m:r>
          </m:e>
          <m:sub>
            <m:r>
              <m:t>pub</m:t>
            </m:r>
          </m:sub>
        </m:sSub>
        <m:r>
          <m:t xml:space="preserve"> , P , R )</m:t>
        </m:r>
      </m:oMath>
      <w:r>
        <w:rPr>
          <w:rFonts w:ascii="Times New Roman" w:cs="Times New Roman" w:eastAsia="SimSun" w:hAnsi="Times New Roman"/>
          <w:sz w:val="24"/>
          <w:szCs w:val="24"/>
        </w:rPr>
        <w:t xml:space="preserve">	(2)</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where t</w:t>
      </w:r>
      <w:r>
        <w:rPr>
          <w:rFonts w:ascii="Times New Roman" w:cs="Times New Roman" w:eastAsia="SimSun" w:hAnsi="Times New Roman"/>
          <w:b w:val="false"/>
          <w:bCs w:val="false"/>
          <w:i/>
          <w:iCs/>
          <w:color w:val="000000"/>
          <w:sz w:val="24"/>
          <w:szCs w:val="24"/>
          <w:vertAlign w:val="subscript"/>
          <w:rtl w:val="false"/>
        </w:rPr>
        <w:t xml:space="preserve">pub</w:t>
      </w:r>
      <w:r>
        <w:rPr>
          <w:rFonts w:ascii="Times New Roman" w:cs="Times New Roman" w:eastAsia="SimSun" w:hAnsi="Times New Roman"/>
          <w:b w:val="false"/>
          <w:bCs w:val="false"/>
          <w:i w:val="false"/>
          <w:iCs w:val="false"/>
          <w:color w:val="000000"/>
          <w:sz w:val="24"/>
          <w:szCs w:val="24"/>
          <w:rtl w:val="false"/>
        </w:rPr>
        <w:t xml:space="preserve"> is the publication timestamp; P = {p</w:t>
      </w:r>
      <w:r>
        <w:rPr>
          <w:rFonts w:ascii="Times New Roman" w:cs="Times New Roman" w:eastAsia="SimSun" w:hAnsi="Times New Roman"/>
          <w:b w:val="false"/>
          <w:bCs w:val="false"/>
          <w:i w:val="false"/>
          <w:iCs w:val="false"/>
          <w:color w:val="000000"/>
          <w:sz w:val="24"/>
          <w:szCs w:val="24"/>
          <w:vertAlign w:val="subscript"/>
          <w:rtl w:val="false"/>
        </w:rPr>
        <w:t xml:space="preserve">1</w:t>
      </w:r>
      <w:r>
        <w:rPr>
          <w:rFonts w:ascii="Times New Roman" w:cs="Times New Roman" w:eastAsia="SimSun" w:hAnsi="Times New Roman"/>
          <w:b w:val="false"/>
          <w:bCs w:val="false"/>
          <w:i w:val="false"/>
          <w:iCs w:val="false"/>
          <w:color w:val="000000"/>
          <w:sz w:val="24"/>
          <w:szCs w:val="24"/>
          <w:rtl w:val="false"/>
        </w:rPr>
        <w:t xml:space="preserve">, …, p</w:t>
      </w:r>
      <w:r>
        <w:rPr>
          <w:rFonts w:ascii="Times New Roman" w:cs="Times New Roman" w:eastAsia="SimSun" w:hAnsi="Times New Roman"/>
          <w:b w:val="false"/>
          <w:bCs w:val="false"/>
          <w:i w:val="false"/>
          <w:iCs w:val="false"/>
          <w:color w:val="000000"/>
          <w:sz w:val="24"/>
          <w:szCs w:val="24"/>
          <w:vertAlign w:val="subscript"/>
          <w:rtl w:val="false"/>
        </w:rPr>
        <w:t xml:space="preserve">m</w:t>
      </w:r>
      <w:r>
        <w:rPr>
          <w:rFonts w:ascii="Times New Roman" w:cs="Times New Roman" w:eastAsia="SimSun" w:hAnsi="Times New Roman"/>
          <w:b w:val="false"/>
          <w:bCs w:val="false"/>
          <w:i w:val="false"/>
          <w:iCs w:val="false"/>
          <w:color w:val="000000"/>
          <w:sz w:val="24"/>
          <w:szCs w:val="24"/>
          <w:rtl w:val="false"/>
        </w:rPr>
        <w:t xml:space="preserve">} is a set of predicates in a normalised (subject, predicate, object, condition, exception) form over the domain vocabulary; and R = {(k</w:t>
      </w:r>
      <w:r>
        <w:rPr>
          <w:rFonts w:ascii="Times New Roman" w:cs="Times New Roman" w:eastAsia="SimSun" w:hAnsi="Times New Roman"/>
          <w:b w:val="false"/>
          <w:bCs w:val="false"/>
          <w:i w:val="false"/>
          <w:iCs w:val="false"/>
          <w:color w:val="000000"/>
          <w:sz w:val="24"/>
          <w:szCs w:val="24"/>
          <w:vertAlign w:val="subscript"/>
          <w:rtl w:val="false"/>
        </w:rPr>
        <w:t xml:space="preserve">j</w:t>
      </w:r>
      <w:r>
        <w:rPr>
          <w:rFonts w:ascii="Times New Roman" w:cs="Times New Roman" w:eastAsia="SimSun" w:hAnsi="Times New Roman"/>
          <w:b w:val="false"/>
          <w:bCs w:val="false"/>
          <w:i w:val="false"/>
          <w:iCs w:val="false"/>
          <w:color w:val="000000"/>
          <w:sz w:val="24"/>
          <w:szCs w:val="24"/>
          <w:rtl w:val="false"/>
        </w:rPr>
        <w:t xml:space="preserve">, v</w:t>
      </w:r>
      <w:r>
        <w:rPr>
          <w:rFonts w:ascii="Times New Roman" w:cs="Times New Roman" w:eastAsia="SimSun" w:hAnsi="Times New Roman"/>
          <w:b w:val="false"/>
          <w:bCs w:val="false"/>
          <w:i w:val="false"/>
          <w:iCs w:val="false"/>
          <w:color w:val="000000"/>
          <w:sz w:val="24"/>
          <w:szCs w:val="24"/>
          <w:vertAlign w:val="subscript"/>
          <w:rtl w:val="false"/>
        </w:rPr>
        <w:t xml:space="preserve">j</w:t>
      </w:r>
      <w:r>
        <w:rPr>
          <w:rFonts w:ascii="Times New Roman" w:cs="Times New Roman" w:eastAsia="SimSun" w:hAnsi="Times New Roman"/>
          <w:b w:val="false"/>
          <w:bCs w:val="false"/>
          <w:i w:val="false"/>
          <w:iCs w:val="false"/>
          <w:color w:val="000000"/>
          <w:sz w:val="24"/>
          <w:szCs w:val="24"/>
          <w:rtl w:val="false"/>
        </w:rPr>
        <w:t xml:space="preserve">, τ</w:t>
      </w:r>
      <w:r>
        <w:rPr>
          <w:rFonts w:ascii="Times New Roman" w:cs="Times New Roman" w:eastAsia="SimSun" w:hAnsi="Times New Roman"/>
          <w:b w:val="false"/>
          <w:bCs w:val="false"/>
          <w:i w:val="false"/>
          <w:iCs w:val="false"/>
          <w:color w:val="000000"/>
          <w:sz w:val="24"/>
          <w:szCs w:val="24"/>
          <w:vertAlign w:val="subscript"/>
          <w:rtl w:val="false"/>
        </w:rPr>
        <w:t xml:space="preserve">j</w:t>
      </w:r>
      <w:r>
        <w:rPr>
          <w:rFonts w:ascii="Times New Roman" w:cs="Times New Roman" w:eastAsia="SimSun" w:hAnsi="Times New Roman"/>
          <w:b w:val="false"/>
          <w:bCs w:val="false"/>
          <w:i w:val="false"/>
          <w:iCs w:val="false"/>
          <w:color w:val="000000"/>
          <w:sz w:val="24"/>
          <w:szCs w:val="24"/>
          <w:rtl w:val="false"/>
        </w:rPr>
        <w:t xml:space="preserve">)} is a set of typed key–value facts (numeric quantities, thresholds, enumerations, and units) with declared data types. Extraction is performed by a small model at temperature 0 with a fixed seed and a grammar-constrained output format [27], so that compilation is a repeatable function rather than a sampling process. A full JSON schema example is given in Appendix B.</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4.2 Information-Preservation Invariant</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Compilation is intentionally lossy with respect to surface form — ornamental phrases, rhetorical preambles, and duplicated clauses are discarded — but it must not be lossy with respect to the decision-relevant content of the domain. We therefore scope preservation to a declared question family Q of the domain, rather than to arbitrary ad-hoc queries: for every question Q in the family, answering from the capsule set must be information-equivalent to answering from the raw document. Formally, the compiler is required to satisfy</w:t>
      </w:r>
    </w:p>
    <w:p>
      <w:pPr>
        <w:tabs>
          <w:tab w:val="center" w:pos="4394"/>
          <w:tab w:val="right" w:pos="8788"/>
        </w:tabs>
        <w:spacing w:after="120" w:before="120" w:line="360"/>
      </w:pPr>
      <w:r>
        <w:t xml:space="preserve">	</w:t>
      </w:r>
      <m:oMath>
        <m:r>
          <m:t xml:space="preserve">I(A(Q); </m:t>
        </m:r>
        <m:sSub>
          <m:sSubPr/>
          <m:e>
            <m:r>
              <m:t>D</m:t>
            </m:r>
          </m:e>
          <m:sub>
            <m:r>
              <m:t>raw</m:t>
            </m:r>
          </m:sub>
        </m:sSub>
        <m:r>
          <m:t>) − I(A(Q); K(</m:t>
        </m:r>
        <m:sSub>
          <m:sSubPr/>
          <m:e>
            <m:r>
              <m:t>D</m:t>
            </m:r>
          </m:e>
          <m:sub>
            <m:r>
              <m:t>raw</m:t>
            </m:r>
          </m:sub>
        </m:sSub>
        <m:r>
          <m:t xml:space="preserve">)) ≤ </m:t>
        </m:r>
        <m:sSub>
          <m:sSubPr/>
          <m:e>
            <m:r>
              <m:t>ε</m:t>
            </m:r>
          </m:e>
          <m:sub>
            <m:r>
              <m:t>loss</m:t>
            </m:r>
          </m:sub>
        </m:sSub>
      </m:oMath>
      <w:r>
        <w:rPr>
          <w:rFonts w:ascii="Times New Roman" w:cs="Times New Roman" w:eastAsia="SimSun" w:hAnsi="Times New Roman"/>
          <w:sz w:val="24"/>
          <w:szCs w:val="24"/>
        </w:rPr>
        <w:t xml:space="preserve">	(3)</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for a tolerance ε</w:t>
      </w:r>
      <w:r>
        <w:rPr>
          <w:rFonts w:ascii="Times New Roman" w:cs="Times New Roman" w:eastAsia="SimSun" w:hAnsi="Times New Roman"/>
          <w:b w:val="false"/>
          <w:bCs w:val="false"/>
          <w:i/>
          <w:iCs/>
          <w:color w:val="000000"/>
          <w:sz w:val="24"/>
          <w:szCs w:val="24"/>
          <w:vertAlign w:val="subscript"/>
          <w:rtl w:val="false"/>
        </w:rPr>
        <w:t xml:space="preserve">loss</w:t>
      </w:r>
      <w:r>
        <w:rPr>
          <w:rFonts w:ascii="Times New Roman" w:cs="Times New Roman" w:eastAsia="SimSun" w:hAnsi="Times New Roman"/>
          <w:b w:val="false"/>
          <w:bCs w:val="false"/>
          <w:i w:val="false"/>
          <w:iCs w:val="false"/>
          <w:color w:val="000000"/>
          <w:sz w:val="24"/>
          <w:szCs w:val="24"/>
          <w:rtl w:val="false"/>
        </w:rPr>
        <w:t xml:space="preserve"> accepted by the domain owner, where A(Q) denotes the domain-relevant answer and I(·;·) mutual information. We state this invariant honestly: it is a specification and a validation obligation, not an automatic property. In practice it is operationalised as a checklist of representative question families per domain (obligations, deadlines, thresholds, exemptions, exceptions), each with golden answers, and the extractor output is regression-tested against them at index time; Appendix B shows the schema fields that carry this provenance. Under the invariant, the token compression ratio</w:t>
      </w:r>
    </w:p>
    <w:p>
      <w:pPr>
        <w:tabs>
          <w:tab w:val="center" w:pos="4394"/>
          <w:tab w:val="right" w:pos="8788"/>
        </w:tabs>
        <w:spacing w:after="120" w:before="120" w:line="360"/>
      </w:pPr>
      <w:r>
        <w:t xml:space="preserve">	</w:t>
      </w:r>
      <m:oMath>
        <m:r>
          <m:t xml:space="preserve">ρ = 1 − </m:t>
        </m:r>
        <m:f>
          <m:num>
            <m:r>
              <m:t>∣K(d)∣</m:t>
            </m:r>
          </m:num>
          <m:den>
            <m:r>
              <m:t>∣d∣</m:t>
            </m:r>
          </m:den>
        </m:f>
      </m:oMath>
      <w:r>
        <w:rPr>
          <w:rFonts w:ascii="Times New Roman" w:cs="Times New Roman" w:eastAsia="SimSun" w:hAnsi="Times New Roman"/>
          <w:sz w:val="24"/>
          <w:szCs w:val="24"/>
        </w:rPr>
        <w:t xml:space="preserve">	(4)</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is bounded by the density of predicate-bearing content in the domain. For contract-style and regulatory prose, where hedging and boilerplate dominate, the design target is ρ ≥ 0.75; the upper end (ρ ≈ 0.88) is reached on dense, well-structured corpora with little redundancy. Compression below the target indicates extractor under-coverage and blocks promotion of the affected capsules, rather than being silently accepted.</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4.3 Position-Decoupled KV States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To eliminate capsule pre-fill at request time, the KV states of every capsule are computed once at index time, before any positional rotation is applied. For transformer layer l, the compiler stores</w:t>
      </w:r>
    </w:p>
    <w:p>
      <w:pPr>
        <w:tabs>
          <w:tab w:val="center" w:pos="4394"/>
          <w:tab w:val="right" w:pos="8788"/>
        </w:tabs>
        <w:spacing w:after="120" w:before="120" w:line="360"/>
      </w:pPr>
      <w:r>
        <w:t xml:space="preserve">	</w:t>
      </w:r>
      <m:oMath>
        <m:sSubSup>
          <m:sSubSupPr/>
          <m:e>
            <m:r>
              <m:t>K</m:t>
            </m:r>
          </m:e>
          <m:sub>
            <m:r>
              <m:t>unrot</m:t>
            </m:r>
          </m:sub>
          <m:sup>
            <m:r>
              <m:t>(l)</m:t>
            </m:r>
          </m:sup>
        </m:sSubSup>
        <m:r>
          <m:t xml:space="preserve">(c) = </m:t>
        </m:r>
        <m:sSup>
          <m:sSupPr/>
          <m:e>
            <m:r>
              <m:t>H</m:t>
            </m:r>
          </m:e>
          <m:sup>
            <m:r>
              <m:t>(l−1)</m:t>
            </m:r>
          </m:sup>
        </m:sSup>
        <m:r>
          <m:t xml:space="preserve">(c) </m:t>
        </m:r>
        <m:sSubSup>
          <m:sSubSupPr/>
          <m:e>
            <m:r>
              <m:t>W</m:t>
            </m:r>
          </m:e>
          <m:sub>
            <m:r>
              <m:t>K</m:t>
            </m:r>
          </m:sub>
          <m:sup>
            <m:r>
              <m:t>(l)</m:t>
            </m:r>
          </m:sup>
        </m:sSubSup>
        <m:r>
          <m:t xml:space="preserve"> ,    </m:t>
        </m:r>
        <m:sSup>
          <m:sSupPr/>
          <m:e>
            <m:r>
              <m:t>V</m:t>
            </m:r>
          </m:e>
          <m:sup>
            <m:r>
              <m:t>(l)</m:t>
            </m:r>
          </m:sup>
        </m:sSup>
        <m:r>
          <m:t xml:space="preserve">(c) = </m:t>
        </m:r>
        <m:sSup>
          <m:sSupPr/>
          <m:e>
            <m:r>
              <m:t>H</m:t>
            </m:r>
          </m:e>
          <m:sup>
            <m:r>
              <m:t>(l−1)</m:t>
            </m:r>
          </m:sup>
        </m:sSup>
        <m:r>
          <m:t xml:space="preserve">(c) </m:t>
        </m:r>
        <m:sSubSup>
          <m:sSubSupPr/>
          <m:e>
            <m:r>
              <m:t>W</m:t>
            </m:r>
          </m:e>
          <m:sub>
            <m:r>
              <m:t>V</m:t>
            </m:r>
          </m:sub>
          <m:sup>
            <m:r>
              <m:t>(l)</m:t>
            </m:r>
          </m:sup>
        </m:sSubSup>
      </m:oMath>
      <w:r>
        <w:rPr>
          <w:rFonts w:ascii="Times New Roman" w:cs="Times New Roman" w:eastAsia="SimSun" w:hAnsi="Times New Roman"/>
          <w:sz w:val="24"/>
          <w:szCs w:val="24"/>
        </w:rPr>
        <w:t xml:space="preserve">	(5)</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i.e., the raw projections of the capsule's hidden states under the key and value matrices [1]. At request time, when capsule c is placed at token offset m within the assembled context, no attention arithmetic is re-run; instead the stored keys receive the RoPE rotation [2] for offset m:</w:t>
      </w:r>
    </w:p>
    <w:p>
      <w:pPr>
        <w:tabs>
          <w:tab w:val="center" w:pos="4394"/>
          <w:tab w:val="right" w:pos="8788"/>
        </w:tabs>
        <w:spacing w:after="120" w:before="120" w:line="360"/>
      </w:pPr>
      <w:r>
        <w:t xml:space="preserve">	</w:t>
      </w:r>
      <m:oMath>
        <m:sSubSup>
          <m:sSubSupPr/>
          <m:e>
            <m:r>
              <m:t>K</m:t>
            </m:r>
          </m:e>
          <m:sub>
            <m:r>
              <m:t>active</m:t>
            </m:r>
          </m:sub>
          <m:sup>
            <m:r>
              <m:t>(l)</m:t>
            </m:r>
          </m:sup>
        </m:sSubSup>
        <m:r>
          <m:t xml:space="preserve">(c, m) = </m:t>
        </m:r>
        <m:sSub>
          <m:sSubPr/>
          <m:e>
            <m:r>
              <m:t>R</m:t>
            </m:r>
          </m:e>
          <m:sub>
            <m:r>
              <m:t>Θ,m</m:t>
            </m:r>
          </m:sub>
        </m:sSub>
        <m:r>
          <m:t xml:space="preserve"> ⊙ </m:t>
        </m:r>
        <m:sSubSup>
          <m:sSubSupPr/>
          <m:e>
            <m:r>
              <m:t>K</m:t>
            </m:r>
          </m:e>
          <m:sub>
            <m:r>
              <m:t>unrot</m:t>
            </m:r>
          </m:sub>
          <m:sup>
            <m:r>
              <m:t>(l)</m:t>
            </m:r>
          </m:sup>
        </m:sSubSup>
        <m:r>
          <m:t>(c)</m:t>
        </m:r>
      </m:oMath>
      <w:r>
        <w:rPr>
          <w:rFonts w:ascii="Times New Roman" w:cs="Times New Roman" w:eastAsia="SimSun" w:hAnsi="Times New Roman"/>
          <w:sz w:val="24"/>
          <w:szCs w:val="24"/>
        </w:rPr>
        <w:t xml:space="preserve">	(6)</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which replaces the full multi-layer attention computation that a re-encoding of the capsule at the new offset would require — O(L·|c|·(L</w:t>
      </w:r>
      <w:r>
        <w:rPr>
          <w:rFonts w:ascii="Times New Roman" w:cs="Times New Roman" w:eastAsia="SimSun" w:hAnsi="Times New Roman"/>
          <w:b w:val="false"/>
          <w:bCs w:val="false"/>
          <w:i/>
          <w:iCs/>
          <w:color w:val="000000"/>
          <w:sz w:val="24"/>
          <w:szCs w:val="24"/>
          <w:vertAlign w:val="subscript"/>
          <w:rtl w:val="false"/>
        </w:rPr>
        <w:t xml:space="preserve">prior</w:t>
      </w:r>
      <w:r>
        <w:rPr>
          <w:rFonts w:ascii="Times New Roman" w:cs="Times New Roman" w:eastAsia="SimSun" w:hAnsi="Times New Roman"/>
          <w:b w:val="false"/>
          <w:bCs w:val="false"/>
          <w:i w:val="false"/>
          <w:iCs w:val="false"/>
          <w:color w:val="000000"/>
          <w:sz w:val="24"/>
          <w:szCs w:val="24"/>
          <w:rtl w:val="false"/>
        </w:rPr>
        <w:t xml:space="preserve"> + |c|)·d</w:t>
      </w:r>
      <w:r>
        <w:rPr>
          <w:rFonts w:ascii="Times New Roman" w:cs="Times New Roman" w:eastAsia="SimSun" w:hAnsi="Times New Roman"/>
          <w:b w:val="false"/>
          <w:bCs w:val="false"/>
          <w:i w:val="false"/>
          <w:iCs w:val="false"/>
          <w:color w:val="000000"/>
          <w:sz w:val="24"/>
          <w:szCs w:val="24"/>
          <w:vertAlign w:val="subscript"/>
          <w:rtl w:val="false"/>
        </w:rPr>
        <w:t xml:space="preserve">model</w:t>
      </w:r>
      <w:r>
        <w:rPr>
          <w:rFonts w:ascii="Times New Roman" w:cs="Times New Roman" w:eastAsia="SimSun" w:hAnsi="Times New Roman"/>
          <w:b w:val="false"/>
          <w:bCs w:val="false"/>
          <w:i w:val="false"/>
          <w:iCs w:val="false"/>
          <w:color w:val="000000"/>
          <w:sz w:val="24"/>
          <w:szCs w:val="24"/>
          <w:rtl w:val="false"/>
        </w:rPr>
        <w:t xml:space="preserve">2), per layer, for attention arithmetic alone — by two strictly lighter, explicitly metered terms. The first is the rotation itself, an O(L·|c|·d</w:t>
      </w:r>
      <w:r>
        <w:rPr>
          <w:rFonts w:ascii="Times New Roman" w:cs="Times New Roman" w:eastAsia="SimSun" w:hAnsi="Times New Roman"/>
          <w:b w:val="false"/>
          <w:bCs w:val="false"/>
          <w:i w:val="false"/>
          <w:iCs w:val="false"/>
          <w:color w:val="000000"/>
          <w:sz w:val="24"/>
          <w:szCs w:val="24"/>
          <w:vertAlign w:val="subscript"/>
          <w:rtl w:val="false"/>
        </w:rPr>
        <w:t xml:space="preserve">model</w:t>
      </w:r>
      <w:r>
        <w:rPr>
          <w:rFonts w:ascii="Times New Roman" w:cs="Times New Roman" w:eastAsia="SimSun" w:hAnsi="Times New Roman"/>
          <w:b w:val="false"/>
          <w:bCs w:val="false"/>
          <w:i w:val="false"/>
          <w:iCs w:val="false"/>
          <w:color w:val="000000"/>
          <w:sz w:val="24"/>
          <w:szCs w:val="24"/>
          <w:rtl w:val="false"/>
        </w:rPr>
        <w:t xml:space="preserve">) vector operation across the L layers. The second is the selective fusion recompute: cached segments do not attend to each other, and as CacheBlend [9] analyses, cross-segment attention between cached blocks must be restored by re-computing the KV values of a selected subset of tokens — about 15% of tokens in its evaluation. SCRS adopts the same remedy: interactions among co-loaded capsules and between capsules and the query are re-computed at load time over a recomputed-token budget r, so the residual load cost is governed by r and by the number of co-loaded capsules, not by the full context length. The correct claim is therefore a reduction with two metered residuals, not an elimination of pre-fill cost: the dominant re-encoding term of Equation (1) is removed, while rotation and fusion recompute remain and are metered by the telemetry of Section 8.4. Prompt Cache [8] provides an alternative modular-reuse formulation, and standard position-aligned prefix caching remains the stricter but narrower baseline; the validation protocol of Section 9.5 therefore measures both the latency delta and the answer-quality delta of capsule fusion against a no-fusion baseline. Two further caveats are documented rather than hidden. First, stored states are model- and checkpoint-specific: the KV store is versioned with the model identity and invalidated on any model upgrade. Second, the freshness gate attached to every capsule (a timestamp check against Δt</w:t>
      </w:r>
      <w:r>
        <w:rPr>
          <w:rFonts w:ascii="Times New Roman" w:cs="Times New Roman" w:eastAsia="SimSun" w:hAnsi="Times New Roman"/>
          <w:b w:val="false"/>
          <w:bCs w:val="false"/>
          <w:i w:val="false"/>
          <w:iCs w:val="false"/>
          <w:color w:val="000000"/>
          <w:sz w:val="24"/>
          <w:szCs w:val="24"/>
          <w:vertAlign w:val="subscript"/>
          <w:rtl w:val="false"/>
        </w:rPr>
        <w:t xml:space="preserve">max</w:t>
      </w:r>
      <w:r>
        <w:rPr>
          <w:rFonts w:ascii="Times New Roman" w:cs="Times New Roman" w:eastAsia="SimSun" w:hAnsi="Times New Roman"/>
          <w:b w:val="false"/>
          <w:bCs w:val="false"/>
          <w:i w:val="false"/>
          <w:iCs w:val="false"/>
          <w:color w:val="000000"/>
          <w:sz w:val="24"/>
          <w:szCs w:val="24"/>
          <w:rtl w:val="false"/>
        </w:rPr>
        <w:t xml:space="preserve"> and a minimum confidence c</w:t>
      </w:r>
      <w:r>
        <w:rPr>
          <w:rFonts w:ascii="Times New Roman" w:cs="Times New Roman" w:eastAsia="SimSun" w:hAnsi="Times New Roman"/>
          <w:b w:val="false"/>
          <w:bCs w:val="false"/>
          <w:i w:val="false"/>
          <w:iCs w:val="false"/>
          <w:color w:val="000000"/>
          <w:sz w:val="24"/>
          <w:szCs w:val="24"/>
          <w:vertAlign w:val="subscript"/>
          <w:rtl w:val="false"/>
        </w:rPr>
        <w:t xml:space="preserve">min</w:t>
      </w:r>
      <w:r>
        <w:rPr>
          <w:rFonts w:ascii="Times New Roman" w:cs="Times New Roman" w:eastAsia="SimSun" w:hAnsi="Times New Roman"/>
          <w:b w:val="false"/>
          <w:bCs w:val="false"/>
          <w:i w:val="false"/>
          <w:iCs w:val="false"/>
          <w:color w:val="000000"/>
          <w:sz w:val="24"/>
          <w:szCs w:val="24"/>
          <w:rtl w:val="false"/>
        </w:rPr>
        <w:t xml:space="preserve"> declared in the evidence specification) prevents stale evidence from entering the context silently.</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5. Tier II: Hardened Isomorphic Reasoning JIT</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5.1 Compiled Reasoning Graphs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 compiled reasoning pattern is an eight-tuple:</w:t>
      </w:r>
    </w:p>
    <w:p>
      <w:pPr>
        <w:tabs>
          <w:tab w:val="center" w:pos="4394"/>
          <w:tab w:val="right" w:pos="8788"/>
        </w:tabs>
        <w:spacing w:after="120" w:before="120" w:line="360"/>
      </w:pPr>
      <w:r>
        <w:t xml:space="preserve">	</w:t>
      </w:r>
      <m:oMath>
        <m:r>
          <m:t xml:space="preserve">G = ( V , E , </m:t>
        </m:r>
        <m:sSub>
          <m:sSubPr/>
          <m:e>
            <m:r>
              <m:t>v</m:t>
            </m:r>
          </m:e>
          <m:sub>
            <m:r>
              <m:t>root</m:t>
            </m:r>
          </m:sub>
        </m:sSub>
        <m:r>
          <m:t xml:space="preserve"> , </m:t>
        </m:r>
        <m:sSub>
          <m:sSubPr/>
          <m:e>
            <m:r>
              <m:t>Σ</m:t>
            </m:r>
          </m:e>
          <m:sub>
            <m:r>
              <m:t>vars</m:t>
            </m:r>
          </m:sub>
        </m:sSub>
        <m:r>
          <m:t xml:space="preserve"> , </m:t>
        </m:r>
        <m:sSub>
          <m:sSubPr/>
          <m:e>
            <m:r>
              <m:t>Φ</m:t>
            </m:r>
          </m:e>
          <m:sub>
            <m:r>
              <m:t>ev</m:t>
            </m:r>
          </m:sub>
        </m:sSub>
        <m:r>
          <m:t xml:space="preserve"> , </m:t>
        </m:r>
        <m:sSub>
          <m:sSubPr/>
          <m:e>
            <m:r>
              <m:t>Λ</m:t>
            </m:r>
          </m:e>
          <m:sub>
            <m:r>
              <m:t>ax</m:t>
            </m:r>
          </m:sub>
        </m:sSub>
        <m:r>
          <m:t xml:space="preserve"> , </m:t>
        </m:r>
        <m:sSub>
          <m:sSubPr/>
          <m:e>
            <m:r>
              <m:t>E</m:t>
            </m:r>
          </m:e>
          <m:sub>
            <m:r>
              <m:t>scope</m:t>
            </m:r>
          </m:sub>
        </m:sSub>
        <m:r>
          <m:t xml:space="preserve"> , </m:t>
        </m:r>
        <m:sSub>
          <m:sSubPr/>
          <m:e>
            <m:r>
              <m:t>ν</m:t>
            </m:r>
          </m:e>
          <m:sub>
            <m:r>
              <m:t>meta</m:t>
            </m:r>
          </m:sub>
        </m:sSub>
        <m:r>
          <m:t xml:space="preserve"> )</m:t>
        </m:r>
      </m:oMath>
      <w:r>
        <w:rPr>
          <w:rFonts w:ascii="Times New Roman" w:cs="Times New Roman" w:eastAsia="SimSun" w:hAnsi="Times New Roman"/>
          <w:sz w:val="24"/>
          <w:szCs w:val="24"/>
        </w:rPr>
        <w:t xml:space="preserve">	(7)</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Here V is a finite set of decision nodes (1 ≤ |V| ≤ N</w:t>
      </w:r>
      <w:r>
        <w:rPr>
          <w:rFonts w:ascii="Times New Roman" w:cs="Times New Roman" w:eastAsia="SimSun" w:hAnsi="Times New Roman"/>
          <w:b w:val="false"/>
          <w:bCs w:val="false"/>
          <w:i w:val="false"/>
          <w:iCs w:val="false"/>
          <w:color w:val="000000"/>
          <w:sz w:val="24"/>
          <w:szCs w:val="24"/>
          <w:vertAlign w:val="subscript"/>
          <w:rtl w:val="false"/>
        </w:rPr>
        <w:t xml:space="preserve">max</w:t>
      </w:r>
      <w:r>
        <w:rPr>
          <w:rFonts w:ascii="Times New Roman" w:cs="Times New Roman" w:eastAsia="SimSun" w:hAnsi="Times New Roman"/>
          <w:b w:val="false"/>
          <w:bCs w:val="false"/>
          <w:i w:val="false"/>
          <w:iCs w:val="false"/>
          <w:color w:val="000000"/>
          <w:sz w:val="24"/>
          <w:szCs w:val="24"/>
          <w:rtl w:val="false"/>
        </w:rPr>
        <w:t xml:space="preserve">); each node v</w:t>
      </w:r>
      <w:r>
        <w:rPr>
          <w:rFonts w:ascii="Times New Roman" w:cs="Times New Roman" w:eastAsia="SimSun" w:hAnsi="Times New Roman"/>
          <w:b w:val="false"/>
          <w:bCs w:val="false"/>
          <w:i w:val="false"/>
          <w:iCs w:val="false"/>
          <w:color w:val="000000"/>
          <w:sz w:val="24"/>
          <w:szCs w:val="24"/>
          <w:vertAlign w:val="subscript"/>
          <w:rtl w:val="false"/>
        </w:rPr>
        <w:t xml:space="preserve">i</w:t>
      </w:r>
      <w:r>
        <w:rPr>
          <w:rFonts w:ascii="Times New Roman" w:cs="Times New Roman" w:eastAsia="SimSun" w:hAnsi="Times New Roman"/>
          <w:b w:val="false"/>
          <w:bCs w:val="false"/>
          <w:i w:val="false"/>
          <w:iCs w:val="false"/>
          <w:color w:val="000000"/>
          <w:sz w:val="24"/>
          <w:szCs w:val="24"/>
          <w:rtl w:val="false"/>
        </w:rPr>
        <w:t xml:space="preserve"> carries a typed predicate ψ</w:t>
      </w:r>
      <w:r>
        <w:rPr>
          <w:rFonts w:ascii="Times New Roman" w:cs="Times New Roman" w:eastAsia="SimSun" w:hAnsi="Times New Roman"/>
          <w:b w:val="false"/>
          <w:bCs w:val="false"/>
          <w:i/>
          <w:iCs/>
          <w:color w:val="000000"/>
          <w:sz w:val="24"/>
          <w:szCs w:val="24"/>
          <w:vertAlign w:val="subscript"/>
          <w:rtl w:val="false"/>
        </w:rPr>
        <w:t xml:space="preserve">i</w:t>
      </w:r>
      <w:r>
        <w:rPr>
          <w:rFonts w:ascii="Times New Roman" w:cs="Times New Roman" w:eastAsia="SimSun" w:hAnsi="Times New Roman"/>
          <w:b w:val="false"/>
          <w:bCs w:val="false"/>
          <w:i w:val="false"/>
          <w:iCs w:val="false"/>
          <w:color w:val="000000"/>
          <w:sz w:val="24"/>
          <w:szCs w:val="24"/>
          <w:rtl w:val="false"/>
        </w:rPr>
        <w:t xml:space="preserve"> in the guarded predicate language L</w:t>
      </w:r>
      <w:r>
        <w:rPr>
          <w:rFonts w:ascii="Times New Roman" w:cs="Times New Roman" w:eastAsia="SimSun" w:hAnsi="Times New Roman"/>
          <w:b w:val="false"/>
          <w:bCs w:val="false"/>
          <w:i/>
          <w:iCs/>
          <w:color w:val="000000"/>
          <w:sz w:val="24"/>
          <w:szCs w:val="24"/>
          <w:vertAlign w:val="subscript"/>
          <w:rtl w:val="false"/>
        </w:rPr>
        <w:t xml:space="preserve">pred</w:t>
      </w:r>
      <w:r>
        <w:rPr>
          <w:rFonts w:ascii="Times New Roman" w:cs="Times New Roman" w:eastAsia="SimSun" w:hAnsi="Times New Roman"/>
          <w:b w:val="false"/>
          <w:bCs w:val="false"/>
          <w:i w:val="false"/>
          <w:iCs w:val="false"/>
          <w:color w:val="000000"/>
          <w:sz w:val="24"/>
          <w:szCs w:val="24"/>
          <w:rtl w:val="false"/>
        </w:rPr>
        <w:t xml:space="preserve"> (Appendix B) and a verdict code ω</w:t>
      </w:r>
      <w:r>
        <w:rPr>
          <w:rFonts w:ascii="Times New Roman" w:cs="Times New Roman" w:eastAsia="SimSun" w:hAnsi="Times New Roman"/>
          <w:b w:val="false"/>
          <w:bCs w:val="false"/>
          <w:i/>
          <w:iCs/>
          <w:color w:val="000000"/>
          <w:sz w:val="24"/>
          <w:szCs w:val="24"/>
          <w:vertAlign w:val="subscript"/>
          <w:rtl w:val="false"/>
        </w:rPr>
        <w:t xml:space="preserve">i</w:t>
      </w:r>
      <w:r>
        <w:rPr>
          <w:rFonts w:ascii="Times New Roman" w:cs="Times New Roman" w:eastAsia="SimSun" w:hAnsi="Times New Roman"/>
          <w:b w:val="false"/>
          <w:bCs w:val="false"/>
          <w:i w:val="false"/>
          <w:iCs w:val="false"/>
          <w:color w:val="000000"/>
          <w:sz w:val="24"/>
          <w:szCs w:val="24"/>
          <w:rtl w:val="false"/>
        </w:rPr>
        <w:t xml:space="preserve"> rendered at the end. E ⊆ V × V × {TRUE, FALSE} is a labelled edge set such that (V, E) is strictly acyclic — enforced statically before registration, not trusted from the authoring tool. Σ</w:t>
      </w:r>
      <w:r>
        <w:rPr>
          <w:rFonts w:ascii="Times New Roman" w:cs="Times New Roman" w:eastAsia="SimSun" w:hAnsi="Times New Roman"/>
          <w:b w:val="false"/>
          <w:bCs w:val="false"/>
          <w:i w:val="false"/>
          <w:iCs w:val="false"/>
          <w:color w:val="000000"/>
          <w:sz w:val="24"/>
          <w:szCs w:val="24"/>
          <w:vertAlign w:val="subscript"/>
          <w:rtl w:val="false"/>
        </w:rPr>
        <w:t xml:space="preserve">vars</w:t>
      </w:r>
      <w:r>
        <w:rPr>
          <w:rFonts w:ascii="Times New Roman" w:cs="Times New Roman" w:eastAsia="SimSun" w:hAnsi="Times New Roman"/>
          <w:b w:val="false"/>
          <w:bCs w:val="false"/>
          <w:i w:val="false"/>
          <w:iCs w:val="false"/>
          <w:color w:val="000000"/>
          <w:sz w:val="24"/>
          <w:szCs w:val="24"/>
          <w:rtl w:val="false"/>
        </w:rPr>
        <w:t xml:space="preserve"> is the typed symbol table: every symbol (e.g., a downtime-hours figure) has a declared type in {ENTITY, NUMBER, BOOLEAN, STRING_ENUM, TIMESTAMP} and a provenance requirement. Φ</w:t>
      </w:r>
      <w:r>
        <w:rPr>
          <w:rFonts w:ascii="Times New Roman" w:cs="Times New Roman" w:eastAsia="SimSun" w:hAnsi="Times New Roman"/>
          <w:b w:val="false"/>
          <w:bCs w:val="false"/>
          <w:i w:val="false"/>
          <w:iCs w:val="false"/>
          <w:color w:val="000000"/>
          <w:sz w:val="24"/>
          <w:szCs w:val="24"/>
          <w:vertAlign w:val="subscript"/>
          <w:rtl w:val="false"/>
        </w:rPr>
        <w:t xml:space="preserve">ev</w:t>
      </w:r>
      <w:r>
        <w:rPr>
          <w:rFonts w:ascii="Times New Roman" w:cs="Times New Roman" w:eastAsia="SimSun" w:hAnsi="Times New Roman"/>
          <w:b w:val="false"/>
          <w:bCs w:val="false"/>
          <w:i w:val="false"/>
          <w:iCs w:val="false"/>
          <w:color w:val="000000"/>
          <w:sz w:val="24"/>
          <w:szCs w:val="24"/>
          <w:rtl w:val="false"/>
        </w:rPr>
        <w:t xml:space="preserve"> is the evidence specification: for each context-dependent symbol it declares the admissible source types, the maximum evidence age Δt</w:t>
      </w:r>
      <w:r>
        <w:rPr>
          <w:rFonts w:ascii="Times New Roman" w:cs="Times New Roman" w:eastAsia="SimSun" w:hAnsi="Times New Roman"/>
          <w:b w:val="false"/>
          <w:bCs w:val="false"/>
          <w:i w:val="false"/>
          <w:iCs w:val="false"/>
          <w:color w:val="000000"/>
          <w:sz w:val="24"/>
          <w:szCs w:val="24"/>
          <w:vertAlign w:val="subscript"/>
          <w:rtl w:val="false"/>
        </w:rPr>
        <w:t xml:space="preserve">max</w:t>
      </w:r>
      <w:r>
        <w:rPr>
          <w:rFonts w:ascii="Times New Roman" w:cs="Times New Roman" w:eastAsia="SimSun" w:hAnsi="Times New Roman"/>
          <w:b w:val="false"/>
          <w:bCs w:val="false"/>
          <w:i w:val="false"/>
          <w:iCs w:val="false"/>
          <w:color w:val="000000"/>
          <w:sz w:val="24"/>
          <w:szCs w:val="24"/>
          <w:rtl w:val="false"/>
        </w:rPr>
        <w:t xml:space="preserve">, and the minimum confidence c</w:t>
      </w:r>
      <w:r>
        <w:rPr>
          <w:rFonts w:ascii="Times New Roman" w:cs="Times New Roman" w:eastAsia="SimSun" w:hAnsi="Times New Roman"/>
          <w:b w:val="false"/>
          <w:bCs w:val="false"/>
          <w:i w:val="false"/>
          <w:iCs w:val="false"/>
          <w:color w:val="000000"/>
          <w:sz w:val="24"/>
          <w:szCs w:val="24"/>
          <w:vertAlign w:val="subscript"/>
          <w:rtl w:val="false"/>
        </w:rPr>
        <w:t xml:space="preserve">min</w:t>
      </w:r>
      <w:r>
        <w:rPr>
          <w:rFonts w:ascii="Times New Roman" w:cs="Times New Roman" w:eastAsia="SimSun" w:hAnsi="Times New Roman"/>
          <w:b w:val="false"/>
          <w:bCs w:val="false"/>
          <w:i w:val="false"/>
          <w:iCs w:val="false"/>
          <w:color w:val="000000"/>
          <w:sz w:val="24"/>
          <w:szCs w:val="24"/>
          <w:rtl w:val="false"/>
        </w:rPr>
        <w:t xml:space="preserve">. The scope envelope E</w:t>
      </w:r>
      <w:r>
        <w:rPr>
          <w:rFonts w:ascii="Times New Roman" w:cs="Times New Roman" w:eastAsia="SimSun" w:hAnsi="Times New Roman"/>
          <w:b w:val="false"/>
          <w:bCs w:val="false"/>
          <w:i w:val="false"/>
          <w:iCs w:val="false"/>
          <w:color w:val="000000"/>
          <w:sz w:val="24"/>
          <w:szCs w:val="24"/>
          <w:vertAlign w:val="subscript"/>
          <w:rtl w:val="false"/>
        </w:rPr>
        <w:t xml:space="preserve">scope</w:t>
      </w:r>
      <w:r>
        <w:rPr>
          <w:rFonts w:ascii="Times New Roman" w:cs="Times New Roman" w:eastAsia="SimSun" w:hAnsi="Times New Roman"/>
          <w:b w:val="false"/>
          <w:bCs w:val="false"/>
          <w:i w:val="false"/>
          <w:iCs w:val="false"/>
          <w:color w:val="000000"/>
          <w:sz w:val="24"/>
          <w:szCs w:val="24"/>
          <w:rtl w:val="false"/>
        </w:rPr>
        <w:t xml:space="preserve"> bundles domain identity, jurisdiction, adapter version, a transfer-permission flag, a compatibility set, mandatory preconditions P</w:t>
      </w:r>
      <w:r>
        <w:rPr>
          <w:rFonts w:ascii="Times New Roman" w:cs="Times New Roman" w:eastAsia="SimSun" w:hAnsi="Times New Roman"/>
          <w:b w:val="false"/>
          <w:bCs w:val="false"/>
          <w:i w:val="false"/>
          <w:iCs w:val="false"/>
          <w:color w:val="000000"/>
          <w:sz w:val="24"/>
          <w:szCs w:val="24"/>
          <w:vertAlign w:val="subscript"/>
          <w:rtl w:val="false"/>
        </w:rPr>
        <w:t xml:space="preserve">pre</w:t>
      </w:r>
      <w:r>
        <w:rPr>
          <w:rFonts w:ascii="Times New Roman" w:cs="Times New Roman" w:eastAsia="SimSun" w:hAnsi="Times New Roman"/>
          <w:b w:val="false"/>
          <w:bCs w:val="false"/>
          <w:i w:val="false"/>
          <w:iCs w:val="false"/>
          <w:color w:val="000000"/>
          <w:sz w:val="24"/>
          <w:szCs w:val="24"/>
          <w:rtl w:val="false"/>
        </w:rPr>
        <w:t xml:space="preserve">, and invalidating exclusions X</w:t>
      </w:r>
      <w:r>
        <w:rPr>
          <w:rFonts w:ascii="Times New Roman" w:cs="Times New Roman" w:eastAsia="SimSun" w:hAnsi="Times New Roman"/>
          <w:b w:val="false"/>
          <w:bCs w:val="false"/>
          <w:i w:val="false"/>
          <w:iCs w:val="false"/>
          <w:color w:val="000000"/>
          <w:sz w:val="24"/>
          <w:szCs w:val="24"/>
          <w:vertAlign w:val="subscript"/>
          <w:rtl w:val="false"/>
        </w:rPr>
        <w:t xml:space="preserve">excl</w:t>
      </w:r>
      <w:r>
        <w:rPr>
          <w:rFonts w:ascii="Times New Roman" w:cs="Times New Roman" w:eastAsia="SimSun" w:hAnsi="Times New Roman"/>
          <w:b w:val="false"/>
          <w:bCs w:val="false"/>
          <w:i w:val="false"/>
          <w:iCs w:val="false"/>
          <w:color w:val="000000"/>
          <w:sz w:val="24"/>
          <w:szCs w:val="24"/>
          <w:rtl w:val="false"/>
        </w:rPr>
        <w:t xml:space="preserve">; ν</w:t>
      </w:r>
      <w:r>
        <w:rPr>
          <w:rFonts w:ascii="Times New Roman" w:cs="Times New Roman" w:eastAsia="SimSun" w:hAnsi="Times New Roman"/>
          <w:b w:val="false"/>
          <w:bCs w:val="false"/>
          <w:i w:val="false"/>
          <w:iCs w:val="false"/>
          <w:color w:val="000000"/>
          <w:sz w:val="24"/>
          <w:szCs w:val="24"/>
          <w:vertAlign w:val="subscript"/>
          <w:rtl w:val="false"/>
        </w:rPr>
        <w:t xml:space="preserve">meta</w:t>
      </w:r>
      <w:r>
        <w:rPr>
          <w:rFonts w:ascii="Times New Roman" w:cs="Times New Roman" w:eastAsia="SimSun" w:hAnsi="Times New Roman"/>
          <w:b w:val="false"/>
          <w:bCs w:val="false"/>
          <w:i w:val="false"/>
          <w:iCs w:val="false"/>
          <w:color w:val="000000"/>
          <w:sz w:val="24"/>
          <w:szCs w:val="24"/>
          <w:rtl w:val="false"/>
        </w:rPr>
        <w:t xml:space="preserve"> carries lifecycle metadata (status, shadow-validation counters, axiom version).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5.2 Canonical Serialisation: Topology Hash versus Identity Hash</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 recurring error in pattern reuse is to treat two graphs as interchangeable because they use the same operators. SCRS separates two distinct hash identities. The topology hash captures decision structure: a canonical serialiser performs a pre-order depth-first traversal from the root, renders every predicate in an alphabetically sorted normal form, and replaces every symbol by its declared type, so that syntactically different but structurally identical graphs collide:</w:t>
      </w:r>
    </w:p>
    <w:p>
      <w:pPr>
        <w:tabs>
          <w:tab w:val="center" w:pos="4394"/>
          <w:tab w:val="right" w:pos="8788"/>
        </w:tabs>
        <w:spacing w:after="120" w:before="120" w:line="360"/>
      </w:pPr>
      <w:r>
        <w:t xml:space="preserve">	</w:t>
      </w:r>
      <m:oMath>
        <m:sSub>
          <m:sSubPr/>
          <m:e>
            <m:r>
              <m:t>H</m:t>
            </m:r>
          </m:e>
          <m:sub>
            <m:r>
              <m:t>topo</m:t>
            </m:r>
          </m:sub>
        </m:sSub>
        <m:r>
          <m:t xml:space="preserve">(G) = SHA-256 ( </m:t>
        </m:r>
        <m:sSub>
          <m:sSubPr/>
          <m:e>
            <m:r>
              <m:t>IR</m:t>
            </m:r>
          </m:e>
          <m:sub>
            <m:r>
              <m:t>Ver</m:t>
            </m:r>
          </m:sub>
        </m:sSub>
        <m:r>
          <m:t xml:space="preserve"> ∥ sort(</m:t>
        </m:r>
        <m:sSub>
          <m:sSubPr/>
          <m:e>
            <m:r>
              <m:t>Σ</m:t>
            </m:r>
          </m:e>
          <m:sub>
            <m:r>
              <m:t>vars</m:t>
            </m:r>
          </m:sub>
        </m:sSub>
        <m:r>
          <m:t>) ∥ DFS(</m:t>
        </m:r>
        <m:sSub>
          <m:sSubPr/>
          <m:e>
            <m:r>
              <m:t>v</m:t>
            </m:r>
          </m:e>
          <m:sub>
            <m:r>
              <m:t>root</m:t>
            </m:r>
          </m:sub>
        </m:sSub>
        <m:r>
          <m:t xml:space="preserve"> , E , </m:t>
        </m:r>
        <m:sSub>
          <m:sSubPr/>
          <m:e>
            <m:r>
              <m:t>L</m:t>
            </m:r>
          </m:e>
          <m:sub>
            <m:r>
              <m:t>pred</m:t>
            </m:r>
          </m:sub>
        </m:sSub>
        <m:r>
          <m:t xml:space="preserve"> ) )</m:t>
        </m:r>
      </m:oMath>
      <w:r>
        <w:rPr>
          <w:rFonts w:ascii="Times New Roman" w:cs="Times New Roman" w:eastAsia="SimSun" w:hAnsi="Times New Roman"/>
          <w:sz w:val="24"/>
          <w:szCs w:val="24"/>
        </w:rPr>
        <w:t xml:space="preserve">	(8)</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topology hash is used only for retrieval and analytics — never as a database key. The template-identity hash binds the pattern to its normative context and is the primary key:</w:t>
      </w:r>
    </w:p>
    <w:p>
      <w:pPr>
        <w:tabs>
          <w:tab w:val="center" w:pos="4394"/>
          <w:tab w:val="right" w:pos="8788"/>
        </w:tabs>
        <w:spacing w:after="120" w:before="120" w:line="360"/>
      </w:pPr>
      <w:r>
        <w:t xml:space="preserve">	</w:t>
      </w:r>
      <m:oMath>
        <m:sSub>
          <m:sSubPr/>
          <m:e>
            <m:r>
              <m:t>H</m:t>
            </m:r>
          </m:e>
          <m:sub>
            <m:r>
              <m:t>id</m:t>
            </m:r>
          </m:sub>
        </m:sSub>
        <m:r>
          <m:t xml:space="preserve">(G) = SHA-256 ( </m:t>
        </m:r>
        <m:sSub>
          <m:sSubPr/>
          <m:e>
            <m:r>
              <m:t>H</m:t>
            </m:r>
          </m:e>
          <m:sub>
            <m:r>
              <m:t>topo</m:t>
            </m:r>
          </m:sub>
        </m:sSub>
        <m:r>
          <m:t xml:space="preserve">(G) ∥ dom ∥ jur ∥ </m:t>
        </m:r>
        <m:sSub>
          <m:sSubPr/>
          <m:e>
            <m:r>
              <m:t>adapter</m:t>
            </m:r>
          </m:e>
          <m:sub>
            <m:r>
              <m:t>ver</m:t>
            </m:r>
          </m:sub>
        </m:sSub>
        <m:r>
          <m:t xml:space="preserve"> ∥ sort(</m:t>
        </m:r>
        <m:sSub>
          <m:sSubPr/>
          <m:e>
            <m:r>
              <m:t>Λ</m:t>
            </m:r>
          </m:e>
          <m:sub>
            <m:r>
              <m:t>ax</m:t>
            </m:r>
          </m:sub>
        </m:sSub>
        <m:r>
          <m:t>)</m:t>
        </m:r>
      </m:oMath>
    </w:p>
    <w:p>
      <w:pPr>
        <w:tabs>
          <w:tab w:val="center" w:pos="4394"/>
          <w:tab w:val="right" w:pos="8788"/>
        </w:tabs>
        <w:spacing w:after="120" w:before="120" w:line="360"/>
      </w:pPr>
      <w:r>
        <w:t xml:space="preserve">	</w:t>
      </w:r>
      <m:oMath>
        <m:r>
          <m:t>∥ sort(</m:t>
        </m:r>
        <m:sSub>
          <m:sSubPr/>
          <m:e>
            <m:r>
              <m:t>P</m:t>
            </m:r>
          </m:e>
          <m:sub>
            <m:r>
              <m:t>pre</m:t>
            </m:r>
          </m:sub>
        </m:sSub>
        <m:r>
          <m:t>) ∥ sort(</m:t>
        </m:r>
        <m:sSub>
          <m:sSubPr/>
          <m:e>
            <m:r>
              <m:t>X</m:t>
            </m:r>
          </m:e>
          <m:sub>
            <m:r>
              <m:t>excl</m:t>
            </m:r>
          </m:sub>
        </m:sSub>
        <m:r>
          <m:t>) ∥ lic ∥ share )</m:t>
        </m:r>
      </m:oMath>
      <w:r>
        <w:rPr>
          <w:rFonts w:ascii="Times New Roman" w:cs="Times New Roman" w:eastAsia="SimSun" w:hAnsi="Times New Roman"/>
          <w:sz w:val="24"/>
          <w:szCs w:val="24"/>
        </w:rPr>
        <w:t xml:space="preserve">	(9)</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The identity hash binds every safety- and meaning-relevant component of the pattern: topology, domain, jurisdiction, adapter version, axiom version, the mandatory preconditions P</w:t>
      </w:r>
      <w:r>
        <w:rPr>
          <w:rFonts w:ascii="Times New Roman" w:cs="Times New Roman" w:eastAsia="SimSun" w:hAnsi="Times New Roman"/>
          <w:b w:val="false"/>
          <w:bCs w:val="false"/>
          <w:i w:val="false"/>
          <w:iCs w:val="false"/>
          <w:color w:val="000000"/>
          <w:sz w:val="24"/>
          <w:szCs w:val="24"/>
          <w:vertAlign w:val="subscript"/>
          <w:rtl w:val="false"/>
        </w:rPr>
        <w:t xml:space="preserve">pre</w:t>
      </w:r>
      <w:r>
        <w:rPr>
          <w:rFonts w:ascii="Times New Roman" w:cs="Times New Roman" w:eastAsia="SimSun" w:hAnsi="Times New Roman"/>
          <w:b w:val="false"/>
          <w:bCs w:val="false"/>
          <w:i w:val="false"/>
          <w:iCs w:val="false"/>
          <w:color w:val="000000"/>
          <w:sz w:val="24"/>
          <w:szCs w:val="24"/>
          <w:rtl w:val="false"/>
        </w:rPr>
        <w:t xml:space="preserve">, the invalidating exclusions X</w:t>
      </w:r>
      <w:r>
        <w:rPr>
          <w:rFonts w:ascii="Times New Roman" w:cs="Times New Roman" w:eastAsia="SimSun" w:hAnsi="Times New Roman"/>
          <w:b w:val="false"/>
          <w:bCs w:val="false"/>
          <w:i w:val="false"/>
          <w:iCs w:val="false"/>
          <w:color w:val="000000"/>
          <w:sz w:val="24"/>
          <w:szCs w:val="24"/>
          <w:vertAlign w:val="subscript"/>
          <w:rtl w:val="false"/>
        </w:rPr>
        <w:t xml:space="preserve">excl</w:t>
      </w:r>
      <w:r>
        <w:rPr>
          <w:rFonts w:ascii="Times New Roman" w:cs="Times New Roman" w:eastAsia="SimSun" w:hAnsi="Times New Roman"/>
          <w:b w:val="false"/>
          <w:bCs w:val="false"/>
          <w:i w:val="false"/>
          <w:iCs w:val="false"/>
          <w:color w:val="000000"/>
          <w:sz w:val="24"/>
          <w:szCs w:val="24"/>
          <w:rtl w:val="false"/>
        </w:rPr>
        <w:t xml:space="preserve">, the transfer licence, and the tenant sharing set. This separation has a precise consequence: two structurally isomorphic graphs that differ in any identity-relevant field share neither identity nor storage slot, so a cross-domain or cross-tenant hit is impossible at the key level. Retrieval may still nominate structurally similar candidates — which is exactly what the compatibility gate of Section 5.3 is designed to reject explicitly, and what the trap design of Section 9 measures. We state the scope of this mechanism with a three-level distinction that the safety claims of this paper observe throughout: (i) a </w:t>
      </w:r>
      <w:r>
        <w:rPr>
          <w:rFonts w:ascii="Times New Roman" w:cs="Times New Roman" w:eastAsia="SimSun" w:hAnsi="Times New Roman"/>
          <w:b/>
          <w:bCs/>
          <w:i w:val="false"/>
          <w:iCs w:val="false"/>
          <w:color w:val="000000"/>
          <w:sz w:val="24"/>
          <w:szCs w:val="24"/>
          <w:rtl w:val="false"/>
        </w:rPr>
        <w:t xml:space="preserve">specification-level property</w:t>
      </w:r>
      <w:r>
        <w:rPr>
          <w:rFonts w:ascii="Times New Roman" w:cs="Times New Roman" w:eastAsia="SimSun" w:hAnsi="Times New Roman"/>
          <w:b w:val="false"/>
          <w:bCs w:val="false"/>
          <w:i w:val="false"/>
          <w:iCs w:val="false"/>
          <w:color w:val="000000"/>
          <w:sz w:val="24"/>
          <w:szCs w:val="24"/>
          <w:rtl w:val="false"/>
        </w:rPr>
        <w:t xml:space="preserve"> — under stated assumptions, a candidate failing any gate conjunct is rejected by the specified decision procedure (Theorem 3); (ii) </w:t>
      </w:r>
      <w:r>
        <w:rPr>
          <w:rFonts w:ascii="Times New Roman" w:cs="Times New Roman" w:eastAsia="SimSun" w:hAnsi="Times New Roman"/>
          <w:b/>
          <w:bCs/>
          <w:i w:val="false"/>
          <w:iCs w:val="false"/>
          <w:color w:val="000000"/>
          <w:sz w:val="24"/>
          <w:szCs w:val="24"/>
          <w:rtl w:val="false"/>
        </w:rPr>
        <w:t xml:space="preserve">implementation conformance</w:t>
      </w:r>
      <w:r>
        <w:rPr>
          <w:rFonts w:ascii="Times New Roman" w:cs="Times New Roman" w:eastAsia="SimSun" w:hAnsi="Times New Roman"/>
          <w:b w:val="false"/>
          <w:bCs w:val="false"/>
          <w:i w:val="false"/>
          <w:iCs w:val="false"/>
          <w:color w:val="000000"/>
          <w:sz w:val="24"/>
          <w:szCs w:val="24"/>
          <w:rtl w:val="false"/>
        </w:rPr>
        <w:t xml:space="preserve"> — a particular implementation can be shown by a deterministic test suite to accept exactly the inputs that satisfy the predicate, subject to suite completeness (Section 8.5 reports 26/26 conformance tests on the released reference model); and (iii) an </w:t>
      </w:r>
      <w:r>
        <w:rPr>
          <w:rFonts w:ascii="Times New Roman" w:cs="Times New Roman" w:eastAsia="SimSun" w:hAnsi="Times New Roman"/>
          <w:b/>
          <w:bCs/>
          <w:i w:val="false"/>
          <w:iCs w:val="false"/>
          <w:color w:val="000000"/>
          <w:sz w:val="24"/>
          <w:szCs w:val="24"/>
          <w:rtl w:val="false"/>
        </w:rPr>
        <w:t xml:space="preserve">end-to-end empirical error rate</w:t>
      </w:r>
      <w:r>
        <w:rPr>
          <w:rFonts w:ascii="Times New Roman" w:cs="Times New Roman" w:eastAsia="SimSun" w:hAnsi="Times New Roman"/>
          <w:b w:val="false"/>
          <w:bCs w:val="false"/>
          <w:i w:val="false"/>
          <w:iCs w:val="false"/>
          <w:color w:val="000000"/>
          <w:sz w:val="24"/>
          <w:szCs w:val="24"/>
          <w:rtl w:val="false"/>
        </w:rPr>
        <w:t xml:space="preserve"> — the observed incorrect-acceptance frequency of the deployed system, which only the validation protocol of Section 9.5 can measure. Statement (i) does not entail (ii) or (iii), and a zero error count on a finite test set does not establish a zero population rate; until that protocol has run, zero incorrect cross-domain transfer is presented as a design objective with a statistical bound, never as a measured or structural corollary of the hashing scheme alone.</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5.3 The Transfer Compatibility Gate</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Retrieval returns candidates with cosine similarity sim(e_q, e_G) ≥ θ_cand against the query signature embedding. A candidate reaches the deterministic executor only if the boolean gate</w:t>
      </w:r>
    </w:p>
    <w:p>
      <w:pPr>
        <w:tabs>
          <w:tab w:val="center" w:pos="4394"/>
          <w:tab w:val="right" w:pos="8788"/>
        </w:tabs>
        <w:spacing w:after="120" w:before="120" w:line="360"/>
      </w:pPr>
      <w:r>
        <w:t xml:space="preserve">	</w:t>
      </w:r>
      <m:oMath>
        <m:sSub>
          <m:sSubPr/>
          <m:e>
            <m:r>
              <m:t>V</m:t>
            </m:r>
          </m:e>
          <m:sub>
            <m:r>
              <m:t>tr</m:t>
            </m:r>
          </m:sub>
        </m:sSub>
        <m:r>
          <m:t>(</m:t>
        </m:r>
        <m:sSub>
          <m:sSubPr/>
          <m:e>
            <m:r>
              <m:t>S</m:t>
            </m:r>
          </m:e>
          <m:sub>
            <m:r>
              <m:t>q</m:t>
            </m:r>
          </m:sub>
        </m:sSub>
        <m:r>
          <m:t>,G) = 1(verified(G)) ∧ 1(dom(</m:t>
        </m:r>
        <m:sSub>
          <m:sSubPr/>
          <m:e>
            <m:r>
              <m:t>S</m:t>
            </m:r>
          </m:e>
          <m:sub>
            <m:r>
              <m:t>q</m:t>
            </m:r>
          </m:sub>
        </m:sSub>
        <m:r>
          <m:t>) = dom(</m:t>
        </m:r>
        <m:sSub>
          <m:sSubPr/>
          <m:e>
            <m:r>
              <m:t>E</m:t>
            </m:r>
          </m:e>
          <m:sub>
            <m:r>
              <m:t>scope</m:t>
            </m:r>
          </m:sub>
        </m:sSub>
        <m:r>
          <m:t>) ∧ jur(</m:t>
        </m:r>
        <m:sSub>
          <m:sSubPr/>
          <m:e>
            <m:r>
              <m:t>S</m:t>
            </m:r>
          </m:e>
          <m:sub>
            <m:r>
              <m:t>q</m:t>
            </m:r>
          </m:sub>
        </m:sSub>
        <m:r>
          <m:t>) = jur(</m:t>
        </m:r>
        <m:sSub>
          <m:sSubPr/>
          <m:e>
            <m:r>
              <m:t>E</m:t>
            </m:r>
          </m:e>
          <m:sub>
            <m:r>
              <m:t>scope</m:t>
            </m:r>
          </m:sub>
        </m:sSub>
        <m:r>
          <m:t>))</m:t>
        </m:r>
      </m:oMath>
    </w:p>
    <w:p>
      <w:pPr>
        <w:tabs>
          <w:tab w:val="center" w:pos="4394"/>
          <w:tab w:val="right" w:pos="8788"/>
        </w:tabs>
        <w:spacing w:after="120" w:before="120" w:line="360"/>
      </w:pPr>
      <w:r>
        <w:t xml:space="preserve">	</w:t>
      </w:r>
      <m:oMath>
        <m:r>
          <m:t>∧ 1(adp(</m:t>
        </m:r>
        <m:sSub>
          <m:sSubPr/>
          <m:e>
            <m:r>
              <m:t>S</m:t>
            </m:r>
          </m:e>
          <m:sub>
            <m:r>
              <m:t>q</m:t>
            </m:r>
          </m:sub>
        </m:sSub>
        <m:r>
          <m:t>) = adp(</m:t>
        </m:r>
        <m:sSub>
          <m:sSubPr/>
          <m:e>
            <m:r>
              <m:t>E</m:t>
            </m:r>
          </m:e>
          <m:sub>
            <m:r>
              <m:t>scope</m:t>
            </m:r>
          </m:sub>
        </m:sSub>
        <m:r>
          <m:t>)) ∧ 1(tid ∈ share(</m:t>
        </m:r>
        <m:sSub>
          <m:sSubPr/>
          <m:e>
            <m:r>
              <m:t>E</m:t>
            </m:r>
          </m:e>
          <m:sub>
            <m:r>
              <m:t>scope</m:t>
            </m:r>
          </m:sub>
        </m:sSub>
        <m:r>
          <m:t>)) ∧ 1(lic(</m:t>
        </m:r>
        <m:sSub>
          <m:sSubPr/>
          <m:e>
            <m:r>
              <m:t>E</m:t>
            </m:r>
          </m:e>
          <m:sub>
            <m:r>
              <m:t>scope</m:t>
            </m:r>
          </m:sub>
        </m:sSub>
        <m:r>
          <m:t>) = ALLOW)</m:t>
        </m:r>
      </m:oMath>
    </w:p>
    <w:p>
      <w:pPr>
        <w:tabs>
          <w:tab w:val="center" w:pos="4394"/>
          <w:tab w:val="right" w:pos="8788"/>
        </w:tabs>
        <w:spacing w:after="120" w:before="120" w:line="360"/>
      </w:pPr>
      <w:r>
        <w:t xml:space="preserve">	</w:t>
      </w:r>
      <m:oMath>
        <m:r>
          <m:t>∧ 1(</m:t>
        </m:r>
        <m:sSub>
          <m:sSubPr/>
          <m:e>
            <m:r>
              <m:t>P</m:t>
            </m:r>
          </m:e>
          <m:sub>
            <m:r>
              <m:t>pre</m:t>
            </m:r>
          </m:sub>
        </m:sSub>
        <m:r>
          <m:t xml:space="preserve"> ⊆ </m:t>
        </m:r>
        <m:sSub>
          <m:sSubPr/>
          <m:e>
            <m:r>
              <m:t>S</m:t>
            </m:r>
          </m:e>
          <m:sub>
            <m:r>
              <m:t>q</m:t>
            </m:r>
          </m:sub>
        </m:sSub>
        <m:r>
          <m:t>.pre) ∧ 1(</m:t>
        </m:r>
        <m:sSub>
          <m:sSubPr/>
          <m:e>
            <m:r>
              <m:t>S</m:t>
            </m:r>
          </m:e>
          <m:sub>
            <m:r>
              <m:t>q</m:t>
            </m:r>
          </m:sub>
        </m:sSub>
        <m:r>
          <m:t xml:space="preserve">.excl ∩ </m:t>
        </m:r>
        <m:sSub>
          <m:sSubPr/>
          <m:e>
            <m:r>
              <m:t>X</m:t>
            </m:r>
          </m:e>
          <m:sub>
            <m:r>
              <m:t>excl</m:t>
            </m:r>
          </m:sub>
        </m:sSub>
        <m:r>
          <m:t xml:space="preserve"> = ∅) ∧ 1(evok(</m:t>
        </m:r>
        <m:sSub>
          <m:sSubPr/>
          <m:e>
            <m:r>
              <m:t>S</m:t>
            </m:r>
          </m:e>
          <m:sub>
            <m:r>
              <m:t>q</m:t>
            </m:r>
          </m:sub>
        </m:sSub>
        <m:r>
          <m:t xml:space="preserve">, </m:t>
        </m:r>
        <m:sSub>
          <m:sSubPr/>
          <m:e>
            <m:r>
              <m:t>Φ</m:t>
            </m:r>
          </m:e>
          <m:sub>
            <m:r>
              <m:t>ev</m:t>
            </m:r>
          </m:sub>
        </m:sSub>
        <m:r>
          <m:t>))</m:t>
        </m:r>
      </m:oMath>
      <w:r>
        <w:rPr>
          <w:rFonts w:ascii="Times New Roman" w:cs="Times New Roman" w:eastAsia="SimSun" w:hAnsi="Times New Roman"/>
          <w:sz w:val="24"/>
          <w:szCs w:val="24"/>
        </w:rPr>
        <w:t xml:space="preserve">	(10)</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evaluates to true, where verified(G) abbreviates the lifecycle condition status(G) = VERIFIED of Section 5.5; dom(·) and jur(·) are the domain and jurisdiction identifiers of the query structure and of the scope envelope; adp(·) is the adapter version, which must match exactly because pattern semantics are compiled against a specific adapter; tid ∈ share(E</w:t>
      </w:r>
      <w:r>
        <w:rPr>
          <w:rFonts w:ascii="Times New Roman" w:cs="Times New Roman" w:eastAsia="SimSun" w:hAnsi="Times New Roman"/>
          <w:b w:val="false"/>
          <w:bCs w:val="false"/>
          <w:i w:val="false"/>
          <w:iCs w:val="false"/>
          <w:color w:val="000000"/>
          <w:sz w:val="24"/>
          <w:szCs w:val="24"/>
          <w:vertAlign w:val="subscript"/>
          <w:rtl w:val="false"/>
        </w:rPr>
        <w:t xml:space="preserve">scope</w:t>
      </w:r>
      <w:r>
        <w:rPr>
          <w:rFonts w:ascii="Times New Roman" w:cs="Times New Roman" w:eastAsia="SimSun" w:hAnsi="Times New Roman"/>
          <w:b w:val="false"/>
          <w:bCs w:val="false"/>
          <w:i w:val="false"/>
          <w:iCs w:val="false"/>
          <w:color w:val="000000"/>
          <w:sz w:val="24"/>
          <w:szCs w:val="24"/>
          <w:rtl w:val="false"/>
        </w:rPr>
        <w:t xml:space="preserve">) requires the requesting tenant to appear in the pattern's sharing set (Section 5.6); lic(E</w:t>
      </w:r>
      <w:r>
        <w:rPr>
          <w:rFonts w:ascii="Times New Roman" w:cs="Times New Roman" w:eastAsia="SimSun" w:hAnsi="Times New Roman"/>
          <w:b w:val="false"/>
          <w:bCs w:val="false"/>
          <w:i w:val="false"/>
          <w:iCs w:val="false"/>
          <w:color w:val="000000"/>
          <w:sz w:val="24"/>
          <w:szCs w:val="24"/>
          <w:vertAlign w:val="subscript"/>
          <w:rtl w:val="false"/>
        </w:rPr>
        <w:t xml:space="preserve">scope</w:t>
      </w:r>
      <w:r>
        <w:rPr>
          <w:rFonts w:ascii="Times New Roman" w:cs="Times New Roman" w:eastAsia="SimSun" w:hAnsi="Times New Roman"/>
          <w:b w:val="false"/>
          <w:bCs w:val="false"/>
          <w:i w:val="false"/>
          <w:iCs w:val="false"/>
          <w:color w:val="000000"/>
          <w:sz w:val="24"/>
          <w:szCs w:val="24"/>
          <w:rtl w:val="false"/>
        </w:rPr>
        <w:t xml:space="preserve">) = ALLOW requires the pattern's transfer licence to permit reuse for this request class; P</w:t>
      </w:r>
      <w:r>
        <w:rPr>
          <w:rFonts w:ascii="Times New Roman" w:cs="Times New Roman" w:eastAsia="SimSun" w:hAnsi="Times New Roman"/>
          <w:b w:val="false"/>
          <w:bCs w:val="false"/>
          <w:i w:val="false"/>
          <w:iCs w:val="false"/>
          <w:color w:val="000000"/>
          <w:sz w:val="24"/>
          <w:szCs w:val="24"/>
          <w:vertAlign w:val="subscript"/>
          <w:rtl w:val="false"/>
        </w:rPr>
        <w:t xml:space="preserve">pre</w:t>
      </w:r>
      <w:r>
        <w:rPr>
          <w:rFonts w:ascii="Times New Roman" w:cs="Times New Roman" w:eastAsia="SimSun" w:hAnsi="Times New Roman"/>
          <w:b w:val="false"/>
          <w:bCs w:val="false"/>
          <w:i w:val="false"/>
          <w:iCs w:val="false"/>
          <w:color w:val="000000"/>
          <w:sz w:val="24"/>
          <w:szCs w:val="24"/>
          <w:rtl w:val="false"/>
        </w:rPr>
        <w:t xml:space="preserve"> ⊆ S</w:t>
      </w:r>
      <w:r>
        <w:rPr>
          <w:rFonts w:ascii="Times New Roman" w:cs="Times New Roman" w:eastAsia="SimSun" w:hAnsi="Times New Roman"/>
          <w:b w:val="false"/>
          <w:bCs w:val="false"/>
          <w:i w:val="false"/>
          <w:iCs w:val="false"/>
          <w:color w:val="000000"/>
          <w:sz w:val="24"/>
          <w:szCs w:val="24"/>
          <w:vertAlign w:val="subscript"/>
          <w:rtl w:val="false"/>
        </w:rPr>
        <w:t xml:space="preserve">q</w:t>
      </w:r>
      <w:r>
        <w:rPr>
          <w:rFonts w:ascii="Times New Roman" w:cs="Times New Roman" w:eastAsia="SimSun" w:hAnsi="Times New Roman"/>
          <w:b w:val="false"/>
          <w:bCs w:val="false"/>
          <w:i w:val="false"/>
          <w:iCs w:val="false"/>
          <w:color w:val="000000"/>
          <w:sz w:val="24"/>
          <w:szCs w:val="24"/>
          <w:rtl w:val="false"/>
        </w:rPr>
        <w:t xml:space="preserve">.pre requires every mandatory precondition to hold in the extracted problem structure; the exclusion test rejects any pattern whose invalidating conditions X</w:t>
      </w:r>
      <w:r>
        <w:rPr>
          <w:rFonts w:ascii="Times New Roman" w:cs="Times New Roman" w:eastAsia="SimSun" w:hAnsi="Times New Roman"/>
          <w:b w:val="false"/>
          <w:bCs w:val="false"/>
          <w:i w:val="false"/>
          <w:iCs w:val="false"/>
          <w:color w:val="000000"/>
          <w:sz w:val="24"/>
          <w:szCs w:val="24"/>
          <w:vertAlign w:val="subscript"/>
          <w:rtl w:val="false"/>
        </w:rPr>
        <w:t xml:space="preserve">excl</w:t>
      </w:r>
      <w:r>
        <w:rPr>
          <w:rFonts w:ascii="Times New Roman" w:cs="Times New Roman" w:eastAsia="SimSun" w:hAnsi="Times New Roman"/>
          <w:b w:val="false"/>
          <w:bCs w:val="false"/>
          <w:i w:val="false"/>
          <w:iCs w:val="false"/>
          <w:color w:val="000000"/>
          <w:sz w:val="24"/>
          <w:szCs w:val="24"/>
          <w:rtl w:val="false"/>
        </w:rPr>
        <w:t xml:space="preserve"> intersect the query's exclusion set; and evok(S</w:t>
      </w:r>
      <w:r>
        <w:rPr>
          <w:rFonts w:ascii="Times New Roman" w:cs="Times New Roman" w:eastAsia="SimSun" w:hAnsi="Times New Roman"/>
          <w:b w:val="false"/>
          <w:bCs w:val="false"/>
          <w:i w:val="false"/>
          <w:iCs w:val="false"/>
          <w:color w:val="000000"/>
          <w:sz w:val="24"/>
          <w:szCs w:val="24"/>
          <w:vertAlign w:val="subscript"/>
          <w:rtl w:val="false"/>
        </w:rPr>
        <w:t xml:space="preserve">q</w:t>
      </w:r>
      <w:r>
        <w:rPr>
          <w:rFonts w:ascii="Times New Roman" w:cs="Times New Roman" w:eastAsia="SimSun" w:hAnsi="Times New Roman"/>
          <w:b w:val="false"/>
          <w:bCs w:val="false"/>
          <w:i w:val="false"/>
          <w:iCs w:val="false"/>
          <w:color w:val="000000"/>
          <w:sz w:val="24"/>
          <w:szCs w:val="24"/>
          <w:rtl w:val="false"/>
        </w:rPr>
        <w:t xml:space="preserve">, Φ</w:t>
      </w:r>
      <w:r>
        <w:rPr>
          <w:rFonts w:ascii="Times New Roman" w:cs="Times New Roman" w:eastAsia="SimSun" w:hAnsi="Times New Roman"/>
          <w:b w:val="false"/>
          <w:bCs w:val="false"/>
          <w:i w:val="false"/>
          <w:iCs w:val="false"/>
          <w:color w:val="000000"/>
          <w:sz w:val="24"/>
          <w:szCs w:val="24"/>
          <w:vertAlign w:val="subscript"/>
          <w:rtl w:val="false"/>
        </w:rPr>
        <w:t xml:space="preserve">ev</w:t>
      </w:r>
      <w:r>
        <w:rPr>
          <w:rFonts w:ascii="Times New Roman" w:cs="Times New Roman" w:eastAsia="SimSun" w:hAnsi="Times New Roman"/>
          <w:b w:val="false"/>
          <w:bCs w:val="false"/>
          <w:i w:val="false"/>
          <w:iCs w:val="false"/>
          <w:color w:val="000000"/>
          <w:sz w:val="24"/>
          <w:szCs w:val="24"/>
          <w:rtl w:val="false"/>
        </w:rPr>
        <w:t xml:space="preserve">) verifies that the evidence the pattern requires is admissible — sources whitelisted, age within Δt</w:t>
      </w:r>
      <w:r>
        <w:rPr>
          <w:rFonts w:ascii="Times New Roman" w:cs="Times New Roman" w:eastAsia="SimSun" w:hAnsi="Times New Roman"/>
          <w:b w:val="false"/>
          <w:bCs w:val="false"/>
          <w:i w:val="false"/>
          <w:iCs w:val="false"/>
          <w:color w:val="000000"/>
          <w:sz w:val="24"/>
          <w:szCs w:val="24"/>
          <w:vertAlign w:val="subscript"/>
          <w:rtl w:val="false"/>
        </w:rPr>
        <w:t xml:space="preserve">max</w:t>
      </w:r>
      <w:r>
        <w:rPr>
          <w:rFonts w:ascii="Times New Roman" w:cs="Times New Roman" w:eastAsia="SimSun" w:hAnsi="Times New Roman"/>
          <w:b w:val="false"/>
          <w:bCs w:val="false"/>
          <w:i w:val="false"/>
          <w:iCs w:val="false"/>
          <w:color w:val="000000"/>
          <w:sz w:val="24"/>
          <w:szCs w:val="24"/>
          <w:rtl w:val="false"/>
        </w:rPr>
        <w:t xml:space="preserve">, confidence above c</w:t>
      </w:r>
      <w:r>
        <w:rPr>
          <w:rFonts w:ascii="Times New Roman" w:cs="Times New Roman" w:eastAsia="SimSun" w:hAnsi="Times New Roman"/>
          <w:b w:val="false"/>
          <w:bCs w:val="false"/>
          <w:i w:val="false"/>
          <w:iCs w:val="false"/>
          <w:color w:val="000000"/>
          <w:sz w:val="24"/>
          <w:szCs w:val="24"/>
          <w:vertAlign w:val="subscript"/>
          <w:rtl w:val="false"/>
        </w:rPr>
        <w:t xml:space="preserve">min</w:t>
      </w:r>
      <w:r>
        <w:rPr>
          <w:rFonts w:ascii="Times New Roman" w:cs="Times New Roman" w:eastAsia="SimSun" w:hAnsi="Times New Roman"/>
          <w:b w:val="false"/>
          <w:bCs w:val="false"/>
          <w:i w:val="false"/>
          <w:iCs w:val="false"/>
          <w:color w:val="000000"/>
          <w:sz w:val="24"/>
          <w:szCs w:val="24"/>
          <w:rtl w:val="false"/>
        </w:rPr>
        <w:t xml:space="preserve">. All nine conjuncts are evaluated on typed fields — none involves a similarity score. The gate is deliberately conservative: a reject is cheap and safe (the request proceeds to the oracle), whereas a wrong accept is the single most dangerous event in the system, as the cross-domain trap analysis of Section 9 makes explicit. As a worked example, a server-downtime SLA credit pattern and a pre-sale handover-delay pattern may be near-identical in embedding space (both concern contractual delay compensation); the gate rejects the transfer because their domain identifiers, precondition vocabularies, and statutory references differ, and the query falls back to the oracle for correct treatment.</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Two implementation-level preconditions bind the equality conjuncts to typed reality, and both fail closed. </w:t>
      </w:r>
      <w:r>
        <w:rPr>
          <w:rFonts w:ascii="Times New Roman" w:cs="Times New Roman" w:eastAsia="SimSun" w:hAnsi="Times New Roman"/>
          <w:b/>
          <w:bCs/>
          <w:i w:val="false"/>
          <w:iCs w:val="false"/>
          <w:color w:val="000000"/>
          <w:sz w:val="24"/>
          <w:szCs w:val="24"/>
          <w:rtl w:val="false"/>
        </w:rPr>
        <w:t xml:space="preserve">Canonicalization injectivity. </w:t>
      </w:r>
      <w:r>
        <w:rPr>
          <w:rFonts w:ascii="Times New Roman" w:cs="Times New Roman" w:eastAsia="SimSun" w:hAnsi="Times New Roman"/>
          <w:b w:val="false"/>
          <w:bCs w:val="false"/>
          <w:i w:val="false"/>
          <w:iCs w:val="false"/>
          <w:color w:val="000000"/>
          <w:sz w:val="24"/>
          <w:szCs w:val="24"/>
          <w:rtl w:val="false"/>
        </w:rPr>
        <w:t xml:space="preserve">The domain identifiers compared by dom(S</w:t>
      </w:r>
      <w:r>
        <w:rPr>
          <w:rFonts w:ascii="Times New Roman" w:cs="Times New Roman" w:eastAsia="SimSun" w:hAnsi="Times New Roman"/>
          <w:b w:val="false"/>
          <w:bCs w:val="false"/>
          <w:i w:val="false"/>
          <w:iCs w:val="false"/>
          <w:color w:val="000000"/>
          <w:sz w:val="24"/>
          <w:szCs w:val="24"/>
          <w:vertAlign w:val="subscript"/>
          <w:rtl w:val="false"/>
        </w:rPr>
        <w:t xml:space="preserve">q</w:t>
      </w:r>
      <w:r>
        <w:rPr>
          <w:rFonts w:ascii="Times New Roman" w:cs="Times New Roman" w:eastAsia="SimSun" w:hAnsi="Times New Roman"/>
          <w:b w:val="false"/>
          <w:bCs w:val="false"/>
          <w:i w:val="false"/>
          <w:iCs w:val="false"/>
          <w:color w:val="000000"/>
          <w:sz w:val="24"/>
          <w:szCs w:val="24"/>
          <w:rtl w:val="false"/>
        </w:rPr>
        <w:t xml:space="preserve">) = dom(E</w:t>
      </w:r>
      <w:r>
        <w:rPr>
          <w:rFonts w:ascii="Times New Roman" w:cs="Times New Roman" w:eastAsia="SimSun" w:hAnsi="Times New Roman"/>
          <w:b w:val="false"/>
          <w:bCs w:val="false"/>
          <w:i w:val="false"/>
          <w:iCs w:val="false"/>
          <w:color w:val="000000"/>
          <w:sz w:val="24"/>
          <w:szCs w:val="24"/>
          <w:vertAlign w:val="subscript"/>
          <w:rtl w:val="false"/>
        </w:rPr>
        <w:t xml:space="preserve">scope</w:t>
      </w:r>
      <w:r>
        <w:rPr>
          <w:rFonts w:ascii="Times New Roman" w:cs="Times New Roman" w:eastAsia="SimSun" w:hAnsi="Times New Roman"/>
          <w:b w:val="false"/>
          <w:bCs w:val="false"/>
          <w:i w:val="false"/>
          <w:iCs w:val="false"/>
          <w:color w:val="000000"/>
          <w:sz w:val="24"/>
          <w:szCs w:val="24"/>
          <w:rtl w:val="false"/>
        </w:rPr>
        <w:t xml:space="preserve">) are the output of a versioned canonicalization mapping that is certified injective on the declared taxonomy: absent injectivity, two genuinely distinct domains could normalise to one identifier and satisfy the equality conjunct while being different domains — a collision the equality test itself cannot detect. The gate therefore either verifies that the mapping version in use is on the supported, injective-mapping registry, or performs an explicit collision/ambiguity check; both failure modes reject with dedicated reason codes. </w:t>
      </w:r>
      <w:r>
        <w:rPr>
          <w:rFonts w:ascii="Times New Roman" w:cs="Times New Roman" w:eastAsia="SimSun" w:hAnsi="Times New Roman"/>
          <w:b/>
          <w:bCs/>
          <w:i w:val="false"/>
          <w:iCs w:val="false"/>
          <w:color w:val="000000"/>
          <w:sz w:val="24"/>
          <w:szCs w:val="24"/>
          <w:rtl w:val="false"/>
        </w:rPr>
        <w:t xml:space="preserve">Version currency. </w:t>
      </w:r>
      <w:r>
        <w:rPr>
          <w:rFonts w:ascii="Times New Roman" w:cs="Times New Roman" w:eastAsia="SimSun" w:hAnsi="Times New Roman"/>
          <w:b w:val="false"/>
          <w:bCs w:val="false"/>
          <w:i w:val="false"/>
          <w:iCs w:val="false"/>
          <w:color w:val="000000"/>
          <w:sz w:val="24"/>
          <w:szCs w:val="24"/>
          <w:rtl w:val="false"/>
        </w:rPr>
        <w:t xml:space="preserve">Equality of contract versions is necessary but not sufficient: two sides carrying the same stale or revoked version satisfy equality yet must not be accepted, so each side must additionally be marked explicitly current and supported by the version registry, and any missing, revoked, expired, or unknown currency status rejects. Both preconditions, the explicit-affirmative evaluation of every conjunct (a truthy non-boolean such as an ‘unknown’ status is a rejection, never an acceptance), and the resulting soundness property are formalised as Theorem 3 with its proof in Appendix A.4, and are exercised concretely by the executable reference model and its 26-test conformance suite of Section 8.5.</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5.4 Executor Semantics and Static Validation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predicate language L_pred is deliberately tiny: boolean connectives, comparisons, bounded arithmetic on typed values, and set membership over enumerated types; its grammar (Appendix B) is non-recursive and grammar-constrained generation [27] is used at authoring time. Before a pattern may be registered, a static validator runs a three-colour depth-first search from the root: it rejects any graph containing a back-edge (which would create a cycle), verifies that every non-terminal node has exactly one well-typed outgoing edge labelled TRUE and exactly one well-typed outgoing edge labelled FALSE (an edge set is rejected if either branch is missing or duplicated), checks depth against D_max = 16, checks every predicate against the symbol table for type correctness and binding completeness, and checks that every EXCL exclusion macro desugars to a guarded membership test over a declared enumeration (Appendix B). Only graphs that pass are persisted, and always with lifecycle status EXPERIMENTAL.</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At run time the executor walks the graph from the root. At each node it evaluates ψ_i under the bound symbol values and the freshness-checked evidence; if any required symbol is missing, mistyped, or served by stale evidence, execution stops immediately with a typed verdict HALTED_MISSING_SYMBOL, HALTED_TYPE_MISMATCH, or HALTED_STALE_EVIDENCE, and the request is routed to the oracle with the partial trace attached as context. Because the graph is acyclic and each step strictly increases node depth, evaluation terminates in at most |V| steps; Section 7 makes this precise. The output of a completed run is a verified execution trace T_exec: the sequence of visited nodes, their predicate evaluations, the bound values used, and the terminal verdict — an audit artefact that downstream rendering (Tier III) must not contradict.</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5.5 Pattern Lifecycle: Promotion and Invalidation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Newly compiled patterns enter the store as EXPERIMENTAL and are never auto-executed. Promotion to VERIFIED requires one of two evidence paths: agreement of the pattern's outcome with the oracle's outcome on M consecutive shadow executions (with M a per-domain constant), or explicit expert confirmation. Demotion to DEPRECATED is automatic whenever the axiom version bound in the pattern (a hash of the governing rule set Λ_ax, joined to the Tier I document-versioning system) advances, when the adapter version changes, or when shadow-validation disagreement exceeds a threshold. The lifecycle exists to make the cold-start regime explicit: a freshly deployed domain mostly serves traffic through the fallback path, and the fraction served by the fast path grows only as patterns are promoted — behaviour that the cost model of Section 7 captures through p_hit and p_halt.</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5.6 Multi-Tenant Isolation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Because SCRS is intended as infrastructure for a multi-tenant deployment, tenant isolation is specified as a first-class architectural requirement rather than an operational afterthought. Every stored artefact — capsule, KV state, pattern, execution trace, and log record — carries a tenant identifier tid, and every per-tenant artefact is stored in a tenant-scoped namespace: retrieval queries (including HNSW lookups), KV caches, response caches, and telemetry are all filtered by tid, so one tenant's evidence can never be bound into another tenant's execution. Reuse across tenants is permitted only for patterns explicitly promoted to a sanitised public catalogue: such patterns carry a transfer licence of ALLOW, are curated to contain no customer-specific evidence or provenance, and pass a dedicated tenant-isolation test suite (cross-tenant binding attempts must fail closed with a typed rejection). The admission gate enforces tid ∈ share(E_scope) on every request (Section 5.3), so even a public pattern is executed only for tenants listed in its sharing set. Logs and telemetry are tenant-partitioned for the same reason: an execution trace contains bound customer values, and treating it as shareable would leak exactly the data the isolation boundary exists to protect.</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6. Tier III: Entropy-Interrupt Co-Processing</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6.1 Dual-Criterion Interrupt</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After a verified trace is produced (or fallback capsules assembled), the answer must be rendered in prose. SCRS renders with a local small language model Θ_SLM (a 7B-parameter instruct model served by a high-throughput runtime [6, 28]) and treats Θ_oracle strictly as a co-processor. At each generation step t the small model emits logits over the vocabulary; taking the K = 10 highest-probability tokens and renormalising yields a local distribution, from which two cheap statistics are computed inside the sampling loop (well under 0.1 ms per step on the reference hardware):</w:t>
      </w:r>
    </w:p>
    <w:p>
      <w:pPr>
        <w:tabs>
          <w:tab w:val="center" w:pos="4394"/>
          <w:tab w:val="right" w:pos="8788"/>
        </w:tabs>
        <w:spacing w:after="120" w:before="120" w:line="360"/>
      </w:pPr>
      <w:r>
        <w:t xml:space="preserve">	</w:t>
      </w:r>
      <m:oMath>
        <m:sSub>
          <m:sSubPr/>
          <m:e>
            <m:r>
              <m:t>H</m:t>
            </m:r>
          </m:e>
          <m:sub>
            <m:r>
              <m:t>t</m:t>
            </m:r>
          </m:sub>
        </m:sSub>
        <m:r>
          <m:t xml:space="preserve"> = − </m:t>
        </m:r>
        <m:nary>
          <m:naryPr>
            <m:chr m:val="∑"/>
            <m:limLoc m:val="undOvr"/>
          </m:naryPr>
          <m:sub>
            <m:r>
              <m:t>i=1</m:t>
            </m:r>
          </m:sub>
          <m:sup>
            <m:r>
              <m:t>K</m:t>
            </m:r>
          </m:sup>
          <m:e>
            <m:sSub>
              <m:sSubPr/>
              <m:e>
                <m:r>
                  <m:t>π</m:t>
                </m:r>
              </m:e>
              <m:sub>
                <m:r>
                  <m:t>t,i</m:t>
                </m:r>
              </m:sub>
            </m:sSub>
            <m:r>
              <m:t xml:space="preserve"> </m:t>
            </m:r>
            <m:sSub>
              <m:sSubPr/>
              <m:e>
                <m:r>
                  <m:t>log</m:t>
                </m:r>
              </m:e>
              <m:sub>
                <m:r>
                  <m:t>2</m:t>
                </m:r>
              </m:sub>
            </m:sSub>
            <m:r>
              <m:t xml:space="preserve"> </m:t>
            </m:r>
            <m:sSub>
              <m:sSubPr/>
              <m:e>
                <m:r>
                  <m:t>π</m:t>
                </m:r>
              </m:e>
              <m:sub>
                <m:r>
                  <m:t>t,i</m:t>
                </m:r>
              </m:sub>
            </m:sSub>
          </m:e>
        </m:nary>
        <m:r>
          <m:t xml:space="preserve"> ,    </m:t>
        </m:r>
        <m:sSub>
          <m:sSubPr/>
          <m:e>
            <m:r>
              <m:t>π</m:t>
            </m:r>
          </m:e>
          <m:sub>
            <m:r>
              <m:t>t,i</m:t>
            </m:r>
          </m:sub>
        </m:sSub>
        <m:r>
          <m:t xml:space="preserve"> = </m:t>
        </m:r>
        <m:f>
          <m:num>
            <m:sSub>
              <m:sSubPr/>
              <m:e>
                <m:r>
                  <m:t>p</m:t>
                </m:r>
              </m:e>
              <m:sub>
                <m:r>
                  <m:t>t,i</m:t>
                </m:r>
              </m:sub>
            </m:sSub>
          </m:num>
          <m:den>
            <m:nary>
              <m:naryPr>
                <m:chr m:val="∑"/>
                <m:limLoc m:val="undOvr"/>
              </m:naryPr>
              <m:sub>
                <m:r>
                  <m:t>j=1</m:t>
                </m:r>
              </m:sub>
              <m:sup>
                <m:r>
                  <m:t>K</m:t>
                </m:r>
              </m:sup>
              <m:e>
                <m:sSub>
                  <m:sSubPr/>
                  <m:e>
                    <m:r>
                      <m:t>p</m:t>
                    </m:r>
                  </m:e>
                  <m:sub>
                    <m:r>
                      <m:t>t,j</m:t>
                    </m:r>
                  </m:sub>
                </m:sSub>
              </m:e>
            </m:nary>
          </m:den>
        </m:f>
      </m:oMath>
      <w:r>
        <w:rPr>
          <w:rFonts w:ascii="Times New Roman" w:cs="Times New Roman" w:eastAsia="SimSun" w:hAnsi="Times New Roman"/>
          <w:sz w:val="24"/>
          <w:szCs w:val="24"/>
        </w:rPr>
        <w:t xml:space="preserve">	(11)</w:t>
      </w:r>
    </w:p>
    <w:p>
      <w:pPr>
        <w:tabs>
          <w:tab w:val="center" w:pos="4394"/>
          <w:tab w:val="right" w:pos="8788"/>
        </w:tabs>
        <w:spacing w:after="120" w:before="120" w:line="360"/>
      </w:pPr>
      <w:r>
        <w:t xml:space="preserve">	</w:t>
      </w:r>
      <m:oMath>
        <m:sSub>
          <m:sSubPr/>
          <m:e>
            <m:r>
              <m:t>ΔP</m:t>
            </m:r>
          </m:e>
          <m:sub>
            <m:r>
              <m:t>t</m:t>
            </m:r>
          </m:sub>
        </m:sSub>
        <m:r>
          <m:t xml:space="preserve"> = </m:t>
        </m:r>
        <m:sSub>
          <m:sSubPr/>
          <m:e>
            <m:r>
              <m:t>p</m:t>
            </m:r>
          </m:e>
          <m:sub>
            <m:r>
              <m:t>(1)</m:t>
            </m:r>
          </m:sub>
        </m:sSub>
        <m:r>
          <m:t xml:space="preserve"> − </m:t>
        </m:r>
        <m:sSub>
          <m:sSubPr/>
          <m:e>
            <m:r>
              <m:t>p</m:t>
            </m:r>
          </m:e>
          <m:sub>
            <m:r>
              <m:t>(2)</m:t>
            </m:r>
          </m:sub>
        </m:sSub>
      </m:oMath>
      <w:r>
        <w:rPr>
          <w:rFonts w:ascii="Times New Roman" w:cs="Times New Roman" w:eastAsia="SimSun" w:hAnsi="Times New Roman"/>
          <w:sz w:val="24"/>
          <w:szCs w:val="24"/>
        </w:rPr>
        <w:t xml:space="preserve">	(12)</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where p</w:t>
      </w:r>
      <w:r>
        <w:rPr>
          <w:rFonts w:ascii="Times New Roman" w:cs="Times New Roman" w:eastAsia="SimSun" w:hAnsi="Times New Roman"/>
          <w:b w:val="false"/>
          <w:bCs w:val="false"/>
          <w:i/>
          <w:iCs/>
          <w:color w:val="000000"/>
          <w:sz w:val="24"/>
          <w:szCs w:val="24"/>
          <w:vertAlign w:val="subscript"/>
          <w:rtl w:val="false"/>
        </w:rPr>
        <w:t xml:space="preserve">t,i</w:t>
      </w:r>
      <w:r>
        <w:rPr>
          <w:rFonts w:ascii="Times New Roman" w:cs="Times New Roman" w:eastAsia="SimSun" w:hAnsi="Times New Roman"/>
          <w:b w:val="false"/>
          <w:bCs w:val="false"/>
          <w:i w:val="false"/>
          <w:iCs w:val="false"/>
          <w:color w:val="000000"/>
          <w:sz w:val="24"/>
          <w:szCs w:val="24"/>
          <w:rtl w:val="false"/>
        </w:rPr>
        <w:t xml:space="preserve"> are the Top-K probabilities sorted in decreasing order. The first statistic measures overall distributional uncertainty at the step; the second measures how decisive the top choice is even when entropy is moderate. A hard interrupt is issued exactly when</w:t>
      </w:r>
    </w:p>
    <w:p>
      <w:pPr>
        <w:tabs>
          <w:tab w:val="center" w:pos="4394"/>
          <w:tab w:val="right" w:pos="8788"/>
        </w:tabs>
        <w:spacing w:after="120" w:before="120" w:line="360"/>
      </w:pPr>
      <w:r>
        <w:t xml:space="preserve">	</w:t>
      </w:r>
      <m:oMath>
        <m:sSub>
          <m:sSubPr/>
          <m:e>
            <m:r>
              <m:t>Trig</m:t>
            </m:r>
          </m:e>
          <m:sub>
            <m:r>
              <m:t>t</m:t>
            </m:r>
          </m:sub>
        </m:sSub>
        <m:r>
          <m:t xml:space="preserve"> = 1(</m:t>
        </m:r>
        <m:sSub>
          <m:sSubPr/>
          <m:e>
            <m:r>
              <m:t>H</m:t>
            </m:r>
          </m:e>
          <m:sub>
            <m:r>
              <m:t>t</m:t>
            </m:r>
          </m:sub>
        </m:sSub>
        <m:r>
          <m:t xml:space="preserve"> &gt; </m:t>
        </m:r>
        <m:sSub>
          <m:sSubPr/>
          <m:e>
            <m:r>
              <m:t>τ</m:t>
            </m:r>
          </m:e>
          <m:sub>
            <m:r>
              <m:t>H</m:t>
            </m:r>
          </m:sub>
        </m:sSub>
        <m:r>
          <m:t xml:space="preserve"> ∨ </m:t>
        </m:r>
        <m:sSub>
          <m:sSubPr/>
          <m:e>
            <m:r>
              <m:t>ΔP</m:t>
            </m:r>
          </m:e>
          <m:sub>
            <m:r>
              <m:t>t</m:t>
            </m:r>
          </m:sub>
        </m:sSub>
        <m:r>
          <m:t xml:space="preserve"> &lt; </m:t>
        </m:r>
        <m:sSub>
          <m:sSubPr/>
          <m:e>
            <m:r>
              <m:t>τ</m:t>
            </m:r>
          </m:e>
          <m:sub>
            <m:r>
              <m:t>Δ</m:t>
            </m:r>
          </m:sub>
        </m:sSub>
        <m:r>
          <m:t xml:space="preserve">) ∧ 1(t − </m:t>
        </m:r>
        <m:sSub>
          <m:sSubPr/>
          <m:e>
            <m:r>
              <m:t>t</m:t>
            </m:r>
          </m:e>
          <m:sub>
            <m:r>
              <m:t>last</m:t>
            </m:r>
          </m:sub>
        </m:sSub>
        <m:r>
          <m:t xml:space="preserve"> &gt; </m:t>
        </m:r>
        <m:sSub>
          <m:sSubPr/>
          <m:e>
            <m:r>
              <m:t>w</m:t>
            </m:r>
          </m:e>
          <m:sub>
            <m:r>
              <m:t>cool</m:t>
            </m:r>
          </m:sub>
        </m:sSub>
        <m:r>
          <m:t>)</m:t>
        </m:r>
      </m:oMath>
      <w:r>
        <w:rPr>
          <w:rFonts w:ascii="Times New Roman" w:cs="Times New Roman" w:eastAsia="SimSun" w:hAnsi="Times New Roman"/>
          <w:sz w:val="24"/>
          <w:szCs w:val="24"/>
        </w:rPr>
        <w:t xml:space="preserve">	(13)</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with thresholds τ</w:t>
      </w:r>
      <w:r>
        <w:rPr>
          <w:rFonts w:ascii="Times New Roman" w:cs="Times New Roman" w:eastAsia="SimSun" w:hAnsi="Times New Roman"/>
          <w:b w:val="false"/>
          <w:bCs w:val="false"/>
          <w:i w:val="false"/>
          <w:iCs w:val="false"/>
          <w:color w:val="000000"/>
          <w:sz w:val="24"/>
          <w:szCs w:val="24"/>
          <w:vertAlign w:val="subscript"/>
          <w:rtl w:val="false"/>
        </w:rPr>
        <w:t xml:space="preserve">H</w:t>
      </w:r>
      <w:r>
        <w:rPr>
          <w:rFonts w:ascii="Times New Roman" w:cs="Times New Roman" w:eastAsia="SimSun" w:hAnsi="Times New Roman"/>
          <w:b w:val="false"/>
          <w:bCs w:val="false"/>
          <w:i w:val="false"/>
          <w:iCs w:val="false"/>
          <w:color w:val="000000"/>
          <w:sz w:val="24"/>
          <w:szCs w:val="24"/>
          <w:rtl w:val="false"/>
        </w:rPr>
        <w:t xml:space="preserve"> (entropy, in bits), τ</w:t>
      </w:r>
      <w:r>
        <w:rPr>
          <w:rFonts w:ascii="Times New Roman" w:cs="Times New Roman" w:eastAsia="SimSun" w:hAnsi="Times New Roman"/>
          <w:b w:val="false"/>
          <w:bCs w:val="false"/>
          <w:i w:val="false"/>
          <w:iCs w:val="false"/>
          <w:color w:val="000000"/>
          <w:sz w:val="24"/>
          <w:szCs w:val="24"/>
          <w:vertAlign w:val="subscript"/>
          <w:rtl w:val="false"/>
        </w:rPr>
        <w:t xml:space="preserve">Δ</w:t>
      </w:r>
      <w:r>
        <w:rPr>
          <w:rFonts w:ascii="Times New Roman" w:cs="Times New Roman" w:eastAsia="SimSun" w:hAnsi="Times New Roman"/>
          <w:b w:val="false"/>
          <w:bCs w:val="false"/>
          <w:i w:val="false"/>
          <w:iCs w:val="false"/>
          <w:color w:val="000000"/>
          <w:sz w:val="24"/>
          <w:szCs w:val="24"/>
          <w:rtl w:val="false"/>
        </w:rPr>
        <w:t xml:space="preserve"> (margin), and a cooldown window w</w:t>
      </w:r>
      <w:r>
        <w:rPr>
          <w:rFonts w:ascii="Times New Roman" w:cs="Times New Roman" w:eastAsia="SimSun" w:hAnsi="Times New Roman"/>
          <w:b w:val="false"/>
          <w:bCs w:val="false"/>
          <w:i w:val="false"/>
          <w:iCs w:val="false"/>
          <w:color w:val="000000"/>
          <w:sz w:val="24"/>
          <w:szCs w:val="24"/>
          <w:vertAlign w:val="subscript"/>
          <w:rtl w:val="false"/>
        </w:rPr>
        <w:t xml:space="preserve">cool</w:t>
      </w:r>
      <w:r>
        <w:rPr>
          <w:rFonts w:ascii="Times New Roman" w:cs="Times New Roman" w:eastAsia="SimSun" w:hAnsi="Times New Roman"/>
          <w:b w:val="false"/>
          <w:bCs w:val="false"/>
          <w:i w:val="false"/>
          <w:iCs w:val="false"/>
          <w:color w:val="000000"/>
          <w:sz w:val="24"/>
          <w:szCs w:val="24"/>
          <w:rtl w:val="false"/>
        </w:rPr>
        <w:t xml:space="preserve"> that prevents oscillation around a branch point. The criterion is dual on purpose: entropy alone misses the case where two plausible phrasings imply materially different commitments, and margin alone misses multi-way uncertainty. Both statistics are computed from the Top-K slice only, which is exact for the margin and a standard lower-bound surrogate for the entropy.</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6.2 Anchor-Token Injection and Entropy Collapse</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When an interrupt fires, local generation pauses; the generated prefix, the capsules, and the verified trace are sent to the oracle, which produces only k anchor tokens (k ∈ [3, 6]; k = 5 in the reference configuration):</w:t>
      </w:r>
    </w:p>
    <w:p>
      <w:pPr>
        <w:tabs>
          <w:tab w:val="center" w:pos="4394"/>
          <w:tab w:val="right" w:pos="8788"/>
        </w:tabs>
        <w:spacing w:after="120" w:before="120" w:line="360"/>
      </w:pPr>
      <w:r>
        <w:t xml:space="preserve">	</w:t>
      </w:r>
      <m:oMath>
        <m:sSub>
          <m:sSubPr/>
          <m:e>
            <m:r>
              <m:t>A</m:t>
            </m:r>
          </m:e>
          <m:sub>
            <m:r>
              <m:t>t:t+k−1</m:t>
            </m:r>
          </m:sub>
        </m:sSub>
        <m:r>
          <m:t xml:space="preserve"> ∼ </m:t>
        </m:r>
        <m:sSub>
          <m:sSubPr/>
          <m:e>
            <m:r>
              <m:t>P</m:t>
            </m:r>
          </m:e>
          <m:sub>
            <m:r>
              <m:t>oracle</m:t>
            </m:r>
          </m:sub>
        </m:sSub>
        <m:r>
          <m:t xml:space="preserve"> ( · ∣ </m:t>
        </m:r>
        <m:sSub>
          <m:sSubPr/>
          <m:e>
            <m:r>
              <m:t>y</m:t>
            </m:r>
          </m:e>
          <m:sub>
            <m:r>
              <m:t>&lt;t</m:t>
            </m:r>
          </m:sub>
        </m:sSub>
        <m:r>
          <m:t xml:space="preserve"> , </m:t>
        </m:r>
        <m:sSub>
          <m:sSubPr/>
          <m:e>
            <m:r>
              <m:t>C</m:t>
            </m:r>
          </m:e>
          <m:sub>
            <m:r>
              <m:t>sym</m:t>
            </m:r>
          </m:sub>
        </m:sSub>
        <m:r>
          <m:t xml:space="preserve"> , </m:t>
        </m:r>
        <m:sSub>
          <m:sSubPr/>
          <m:e>
            <m:r>
              <m:t>T</m:t>
            </m:r>
          </m:e>
          <m:sub>
            <m:r>
              <m:t>exec</m:t>
            </m:r>
          </m:sub>
        </m:sSub>
        <m:r>
          <m:t xml:space="preserve"> )</m:t>
        </m:r>
      </m:oMath>
      <w:r>
        <w:rPr>
          <w:rFonts w:ascii="Times New Roman" w:cs="Times New Roman" w:eastAsia="SimSun" w:hAnsi="Times New Roman"/>
          <w:sz w:val="24"/>
          <w:szCs w:val="24"/>
        </w:rPr>
        <w:t xml:space="preserve">	(14)</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anchors are appended to the context and the small model resumes decoding. Figure 2 illustrates the mechanism. The intent is not to outsource the whole sentence but to pin the branch: the anchors select one of the competing continuations, after which the small model's conditional distribution collapses onto the corresponding syntactic mode and the interrupt budget is not re-spent until the next genuine branch point (enforced by the cooldown). Section 6.3 analyses why this collapse is expected, and Proposition 1 states it formally.</w:t>
      </w:r>
    </w:p>
    <w:p>
      <w:pPr>
        <w:keepNext/>
        <w:spacing w:after="60" w:before="160"/>
        <w:jc w:val="center"/>
      </w:pPr>
      <w:r>
        <w:drawing>
          <wp:inline distT="0" distB="0" distL="0" distR="0">
            <wp:extent cx="5286375" cy="2143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143125"/>
                    </a:xfrm>
                    <a:prstGeom prst="rect">
                      <a:avLst/>
                    </a:prstGeom>
                  </pic:spPr>
                </pic:pic>
              </a:graphicData>
            </a:graphic>
          </wp:inline>
        </w:drawing>
      </w:r>
    </w:p>
    <w:p>
      <w:pPr>
        <w:spacing w:after="200" w:before="60" w:line="300"/>
        <w:jc w:val="center"/>
      </w:pPr>
      <w:r>
        <w:rPr>
          <w:rFonts w:ascii="Times New Roman" w:cs="Times New Roman" w:eastAsia="SimSun" w:hAnsi="Times New Roman"/>
          <w:b/>
          <w:bCs/>
          <w:i w:val="false"/>
          <w:iCs w:val="false"/>
          <w:color w:val="000000"/>
          <w:sz w:val="21"/>
          <w:szCs w:val="21"/>
          <w:rtl w:val="false"/>
        </w:rPr>
        <w:t xml:space="preserve">Figure 2. </w:t>
      </w:r>
      <w:r>
        <w:rPr>
          <w:rFonts w:ascii="Times New Roman" w:cs="Times New Roman" w:eastAsia="SimSun" w:hAnsi="Times New Roman"/>
          <w:b w:val="false"/>
          <w:bCs w:val="false"/>
          <w:i w:val="false"/>
          <w:iCs w:val="false"/>
          <w:color w:val="000000"/>
          <w:sz w:val="21"/>
          <w:szCs w:val="21"/>
          <w:rtl w:val="false"/>
        </w:rPr>
        <w:t xml:space="preserve">Illustrative mechanism trace of Tier III (schematic, synthesised for exposition, not measured): Top-K entropy H_t along generated positions. The local model decodes at high speed while H_t stays below the threshold τ_H; at branch points the interrupt fires and the oracle injects k = 5 anchor tokens (shaded windows), after which the conditional entropy collapses and local decoding resumes.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6.3 Relation to Speculative Decoding and the Lossless Mode</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It is important to position this mechanism honestly relative to speculative decoding [12, 13]. In speculative decoding, draft tokens are accepted with probability one under the target distribution via rejection sampling, so the output distribution is exactly the oracle's; the price is a verification pass over every drafted span. In SCRS, anchor tokens are accepted unconditionally: the rendered output is the small model's distribution conditioned on oracle-chosen branch points, which is not identical to the oracle's distribution. The design accepts this divergence deliberately — rendering quality is delegated to the small model except at measured uncertainty spikes — because rule-governed rendering after a deterministic trace is exactly the regime where small models are reliable, and because the verification cost of full losslessness would erode the cost structure the architecture is built to obtain. For deployments that require distribution fidelity, an optional verification mode applies oracle rejection sampling to each anchor window, recovering the lossless guarantee of [12, 13] at a measured, switchable cost. Uncertainty-aware control of speculation effort has precedent in adaptive draft-length control [18]; SCRS differs in that the escalation signal is consumed at render time over a pre-verified content plan, so oracle involvement is structurally capped at branch points rather than spread across all positions.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6.4 Answer–Trace Consistency Validation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Rendering is a generation process, and a generation process can contradict its input: a small model (or an ambiguous anchor window) can receive a correct trace and still verbalise a different outcome. SCRS therefore treats consistency between the rendered answer and the verified trace as a validation obligation, not an assumption. Decision-relevant sections of the answer — the verdict, the qualifying conditions, the numeric thresholds, and the named exceptions — are composed deterministically from the trace's typed fields and the bound values, so they cannot drift; free-text connective material is generated around them. After rendering completes, a consistency check compares every decision-relevant claim in the answer against the trace (the visited node verdicts, the bound values, and the terminal result): exact typed comparison for the deterministic sections, and a bounded entailment check for quantified statements. On mismatch, the system first attempts template-based repair — re-rendering the deterministic sections from the trace — and falls back to the oracle path if the mismatch persists. The same check is applied to anchor windows: an oracle anchor that would flip a trace-derived verdict is itself suspect, and the fallback decision takes precedence. This stage is implemented as STEP 4b of Algorithm 1, and its rejection rate is part of the telemetry schema of Section 8.4; it is a guard against residual rendering risk, not a proof, and the Section 9.5 protocol measures how often it fires.</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7. Formal Analysis</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This section states the three formal results. Full proofs are given in Appendix A. Throughout, fix a verified graph G, a typed problem structure S_q, and an evidence set E_rag that satisfies the freshness and confidence requirements declared in Φ_ev whenever the run completes.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7.1 Theorem 1: Halting and Deterministic Execution</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Theorem 1. </w:t>
      </w:r>
      <w:r>
        <w:rPr>
          <w:rFonts w:ascii="Times New Roman" w:cs="Times New Roman" w:eastAsia="SimSun" w:hAnsi="Times New Roman"/>
          <w:b w:val="false"/>
          <w:bCs w:val="false"/>
          <w:i w:val="false"/>
          <w:iCs w:val="false"/>
          <w:color w:val="000000"/>
          <w:sz w:val="24"/>
          <w:szCs w:val="24"/>
          <w:rtl w:val="false"/>
        </w:rPr>
        <w:t xml:space="preserve">Let G have passed the static validator of Section 5.4 (acyclicity, depth bound D_max = 16, well-typed predicates over a complete symbol table). Then the Tier II runtime (i) halts in at most |V| predicate evaluations, and (ii) produces a unique execution trace for identical inputs: for the same S_q and E_rag, the probability distribution over traces is a point mass,</w:t>
      </w:r>
    </w:p>
    <w:p>
      <w:pPr>
        <w:tabs>
          <w:tab w:val="center" w:pos="4394"/>
          <w:tab w:val="right" w:pos="8788"/>
        </w:tabs>
        <w:spacing w:after="120" w:before="120" w:line="360"/>
      </w:pPr>
      <w:r>
        <w:t xml:space="preserve">	</w:t>
      </w:r>
      <m:oMath>
        <m:r>
          <m:t>Var(</m:t>
        </m:r>
        <m:sSub>
          <m:sSubPr/>
          <m:e>
            <m:r>
              <m:t>T</m:t>
            </m:r>
          </m:e>
          <m:sub>
            <m:r>
              <m:t>exec</m:t>
            </m:r>
          </m:sub>
        </m:sSub>
        <m:r>
          <m:t xml:space="preserve"> ∣ </m:t>
        </m:r>
        <m:sSub>
          <m:sSubPr/>
          <m:e>
            <m:r>
              <m:t>S</m:t>
            </m:r>
          </m:e>
          <m:sub>
            <m:r>
              <m:t>q</m:t>
            </m:r>
          </m:sub>
        </m:sSub>
        <m:r>
          <m:t xml:space="preserve"> , </m:t>
        </m:r>
        <m:sSub>
          <m:sSubPr/>
          <m:e>
            <m:r>
              <m:t>E</m:t>
            </m:r>
          </m:e>
          <m:sub>
            <m:r>
              <m:t>rag</m:t>
            </m:r>
          </m:sub>
        </m:sSub>
        <m:r>
          <m:t>) = 0</m:t>
        </m:r>
      </m:oMath>
      <w:r>
        <w:rPr>
          <w:rFonts w:ascii="Times New Roman" w:cs="Times New Roman" w:eastAsia="SimSun" w:hAnsi="Times New Roman"/>
          <w:sz w:val="24"/>
          <w:szCs w:val="24"/>
        </w:rPr>
        <w:t xml:space="preserve">	(15)</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Proof sketch. </w:t>
      </w:r>
      <w:r>
        <w:rPr>
          <w:rFonts w:ascii="Times New Roman" w:cs="Times New Roman" w:eastAsia="SimSun" w:hAnsi="Times New Roman"/>
          <w:b w:val="false"/>
          <w:bCs w:val="false"/>
          <w:i w:val="false"/>
          <w:iCs w:val="false"/>
          <w:color w:val="000000"/>
          <w:sz w:val="24"/>
          <w:szCs w:val="24"/>
          <w:rtl w:val="false"/>
        </w:rPr>
        <w:t xml:space="preserve">Acyclicity and the depth bound make the walk strictly depth-increasing, so it terminates; the predicate language is non-recursive, total, and side-effect-free on typed values, so each node contributes exactly one boolean. Two cases exist at every node: either the required symbols are bound and the evidence is fresh, in which case the verdict — and therefore the outgoing edge — is a deterministic function of the input; or a binding/freshness condition fails, in which case the runtime emits a typed HALTED_* verdict at that node and stops. Randomness never enters the loop. The full argument, including the totality of the predicate semantics, is Appendix A.1.</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Two remarks are in order. First, Theorem 1 covers the execution of an admitted pattern; it makes no claim about the quality of the pattern, which is the lifecycle's business (Section 5.5). Second, determinism is what turns the trace T_exec into an audit artefact: re-running the same request reconstructs the same trace byte-for-byte, which is essential for the shadow-validation protocol used in pattern promotion.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7.2 Proposition 1: Conditional Entropy Collapse after Anchor Injection</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Proposition 1. </w:t>
      </w:r>
      <w:r>
        <w:rPr>
          <w:rFonts w:ascii="Times New Roman" w:cs="Times New Roman" w:eastAsia="SimSun" w:hAnsi="Times New Roman"/>
          <w:b w:val="false"/>
          <w:bCs w:val="false"/>
          <w:i w:val="false"/>
          <w:iCs w:val="false"/>
          <w:color w:val="000000"/>
          <w:sz w:val="24"/>
          <w:szCs w:val="24"/>
          <w:rtl w:val="false"/>
        </w:rPr>
        <w:t xml:space="preserve">Let the rendering reach step t with Top-K entropy above the threshold, and suppose the latent decision underlying the continuation is a variable Z with competing values z_1, …, z_m (e.g., whether a force-majeure claim is accepted). Let A_k be the anchor sequence injected by the oracle, and assume that A_k determines Z, i.e., it carries (approximately) all the conditional uncertainty of Z given the prefix: I(Z; A_k | y_&lt;t) ≈ H(Z | y_&lt;t). Then the small model's uncertainty about subsequent tokens is reduced by the information the anchors carry about the continuation:</w:t>
      </w:r>
    </w:p>
    <w:p>
      <w:pPr>
        <w:tabs>
          <w:tab w:val="center" w:pos="4394"/>
          <w:tab w:val="right" w:pos="8788"/>
        </w:tabs>
        <w:spacing w:after="120" w:before="120" w:line="360"/>
      </w:pPr>
      <w:r>
        <w:t xml:space="preserve">	</w:t>
      </w:r>
      <m:oMath>
        <m:sSub>
          <m:sSubPr/>
          <m:e>
            <m:r>
              <m:t>H</m:t>
            </m:r>
          </m:e>
          <m:sub>
            <m:r>
              <m:t>SLM</m:t>
            </m:r>
          </m:sub>
        </m:sSub>
        <m:r>
          <m:t>(</m:t>
        </m:r>
        <m:sSub>
          <m:sSubPr/>
          <m:e>
            <m:r>
              <m:t>Y</m:t>
            </m:r>
          </m:e>
          <m:sub>
            <m:r>
              <m:t>t+k</m:t>
            </m:r>
          </m:sub>
        </m:sSub>
        <m:r>
          <m:t xml:space="preserve"> ∣ </m:t>
        </m:r>
        <m:sSub>
          <m:sSubPr/>
          <m:e>
            <m:r>
              <m:t>y</m:t>
            </m:r>
          </m:e>
          <m:sub>
            <m:r>
              <m:t>&lt;t</m:t>
            </m:r>
          </m:sub>
        </m:sSub>
        <m:r>
          <m:t xml:space="preserve"> , </m:t>
        </m:r>
        <m:sSub>
          <m:sSubPr/>
          <m:e>
            <m:r>
              <m:t>A</m:t>
            </m:r>
          </m:e>
          <m:sub>
            <m:r>
              <m:t>k</m:t>
            </m:r>
          </m:sub>
        </m:sSub>
        <m:r>
          <m:t xml:space="preserve">) = </m:t>
        </m:r>
        <m:sSub>
          <m:sSubPr/>
          <m:e>
            <m:r>
              <m:t>H</m:t>
            </m:r>
          </m:e>
          <m:sub>
            <m:r>
              <m:t>SLM</m:t>
            </m:r>
          </m:sub>
        </m:sSub>
        <m:r>
          <m:t>(</m:t>
        </m:r>
        <m:sSub>
          <m:sSubPr/>
          <m:e>
            <m:r>
              <m:t>Y</m:t>
            </m:r>
          </m:e>
          <m:sub>
            <m:r>
              <m:t>t+k</m:t>
            </m:r>
          </m:sub>
        </m:sSub>
        <m:r>
          <m:t xml:space="preserve"> ∣ </m:t>
        </m:r>
        <m:sSub>
          <m:sSubPr/>
          <m:e>
            <m:r>
              <m:t>y</m:t>
            </m:r>
          </m:e>
          <m:sub>
            <m:r>
              <m:t>&lt;t</m:t>
            </m:r>
          </m:sub>
        </m:sSub>
        <m:r>
          <m:t>) − I(</m:t>
        </m:r>
        <m:sSub>
          <m:sSubPr/>
          <m:e>
            <m:r>
              <m:t>Y</m:t>
            </m:r>
          </m:e>
          <m:sub>
            <m:r>
              <m:t>t+k</m:t>
            </m:r>
          </m:sub>
        </m:sSub>
        <m:r>
          <m:t xml:space="preserve"> ; </m:t>
        </m:r>
        <m:sSub>
          <m:sSubPr/>
          <m:e>
            <m:r>
              <m:t>A</m:t>
            </m:r>
          </m:e>
          <m:sub>
            <m:r>
              <m:t>k</m:t>
            </m:r>
          </m:sub>
        </m:sSub>
        <m:r>
          <m:t xml:space="preserve"> ∣ </m:t>
        </m:r>
        <m:sSub>
          <m:sSubPr/>
          <m:e>
            <m:r>
              <m:t>y</m:t>
            </m:r>
          </m:e>
          <m:sub>
            <m:r>
              <m:t>&lt;t</m:t>
            </m:r>
          </m:sub>
        </m:sSub>
        <m:r>
          <m:t>)</m:t>
        </m:r>
      </m:oMath>
      <w:r>
        <w:rPr>
          <w:rFonts w:ascii="Times New Roman" w:cs="Times New Roman" w:eastAsia="SimSun" w:hAnsi="Times New Roman"/>
          <w:sz w:val="24"/>
          <w:szCs w:val="24"/>
        </w:rPr>
        <w:t xml:space="preserve">	(16)</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and, to the extent that the post-anchor uncertainty of Y</w:t>
      </w:r>
      <w:r>
        <w:rPr>
          <w:rFonts w:ascii="Times New Roman" w:cs="Times New Roman" w:eastAsia="SimSun" w:hAnsi="Times New Roman"/>
          <w:b w:val="false"/>
          <w:bCs w:val="false"/>
          <w:i w:val="false"/>
          <w:iCs w:val="false"/>
          <w:color w:val="000000"/>
          <w:sz w:val="24"/>
          <w:szCs w:val="24"/>
          <w:vertAlign w:val="subscript"/>
          <w:rtl w:val="false"/>
        </w:rPr>
        <w:t xml:space="preserve">t+k</w:t>
      </w:r>
      <w:r>
        <w:rPr>
          <w:rFonts w:ascii="Times New Roman" w:cs="Times New Roman" w:eastAsia="SimSun" w:hAnsi="Times New Roman"/>
          <w:b w:val="false"/>
          <w:bCs w:val="false"/>
          <w:i w:val="false"/>
          <w:iCs w:val="false"/>
          <w:color w:val="000000"/>
          <w:sz w:val="24"/>
          <w:szCs w:val="24"/>
          <w:rtl w:val="false"/>
        </w:rPr>
        <w:t xml:space="preserve"> is driven by Z rather than by residual local ambiguity, H</w:t>
      </w:r>
      <w:r>
        <w:rPr>
          <w:rFonts w:ascii="Times New Roman" w:cs="Times New Roman" w:eastAsia="SimSun" w:hAnsi="Times New Roman"/>
          <w:b w:val="false"/>
          <w:bCs w:val="false"/>
          <w:i w:val="false"/>
          <w:iCs w:val="false"/>
          <w:color w:val="000000"/>
          <w:sz w:val="24"/>
          <w:szCs w:val="24"/>
          <w:vertAlign w:val="subscript"/>
          <w:rtl w:val="false"/>
        </w:rPr>
        <w:t xml:space="preserve">SLM</w:t>
      </w:r>
      <w:r>
        <w:rPr>
          <w:rFonts w:ascii="Times New Roman" w:cs="Times New Roman" w:eastAsia="SimSun" w:hAnsi="Times New Roman"/>
          <w:b w:val="false"/>
          <w:bCs w:val="false"/>
          <w:i w:val="false"/>
          <w:iCs w:val="false"/>
          <w:color w:val="000000"/>
          <w:sz w:val="24"/>
          <w:szCs w:val="24"/>
          <w:rtl w:val="false"/>
        </w:rPr>
        <w:t xml:space="preserve">(Y</w:t>
      </w:r>
      <w:r>
        <w:rPr>
          <w:rFonts w:ascii="Times New Roman" w:cs="Times New Roman" w:eastAsia="SimSun" w:hAnsi="Times New Roman"/>
          <w:b w:val="false"/>
          <w:bCs w:val="false"/>
          <w:i w:val="false"/>
          <w:iCs w:val="false"/>
          <w:color w:val="000000"/>
          <w:sz w:val="24"/>
          <w:szCs w:val="24"/>
          <w:vertAlign w:val="subscript"/>
          <w:rtl w:val="false"/>
        </w:rPr>
        <w:t xml:space="preserve">t+k</w:t>
      </w:r>
      <w:r>
        <w:rPr>
          <w:rFonts w:ascii="Times New Roman" w:cs="Times New Roman" w:eastAsia="SimSun" w:hAnsi="Times New Roman"/>
          <w:b w:val="false"/>
          <w:bCs w:val="false"/>
          <w:i w:val="false"/>
          <w:iCs w:val="false"/>
          <w:color w:val="000000"/>
          <w:sz w:val="24"/>
          <w:szCs w:val="24"/>
          <w:rtl w:val="false"/>
        </w:rPr>
        <w:t xml:space="preserve"> | y</w:t>
      </w:r>
      <w:r>
        <w:rPr>
          <w:rFonts w:ascii="Times New Roman" w:cs="Times New Roman" w:eastAsia="SimSun" w:hAnsi="Times New Roman"/>
          <w:b w:val="false"/>
          <w:bCs w:val="false"/>
          <w:i w:val="false"/>
          <w:iCs w:val="false"/>
          <w:color w:val="000000"/>
          <w:sz w:val="24"/>
          <w:szCs w:val="24"/>
          <w:vertAlign w:val="subscript"/>
          <w:rtl w:val="false"/>
        </w:rPr>
        <w:t xml:space="preserve">&lt;t</w:t>
      </w:r>
      <w:r>
        <w:rPr>
          <w:rFonts w:ascii="Times New Roman" w:cs="Times New Roman" w:eastAsia="SimSun" w:hAnsi="Times New Roman"/>
          <w:b w:val="false"/>
          <w:bCs w:val="false"/>
          <w:i w:val="false"/>
          <w:iCs w:val="false"/>
          <w:color w:val="000000"/>
          <w:sz w:val="24"/>
          <w:szCs w:val="24"/>
          <w:rtl w:val="false"/>
        </w:rPr>
        <w:t xml:space="preserve">, A</w:t>
      </w:r>
      <w:r>
        <w:rPr>
          <w:rFonts w:ascii="Times New Roman" w:cs="Times New Roman" w:eastAsia="SimSun" w:hAnsi="Times New Roman"/>
          <w:b w:val="false"/>
          <w:bCs w:val="false"/>
          <w:i w:val="false"/>
          <w:iCs w:val="false"/>
          <w:color w:val="000000"/>
          <w:sz w:val="24"/>
          <w:szCs w:val="24"/>
          <w:vertAlign w:val="subscript"/>
          <w:rtl w:val="false"/>
        </w:rPr>
        <w:t xml:space="preserve">k</w:t>
      </w:r>
      <w:r>
        <w:rPr>
          <w:rFonts w:ascii="Times New Roman" w:cs="Times New Roman" w:eastAsia="SimSun" w:hAnsi="Times New Roman"/>
          <w:b w:val="false"/>
          <w:bCs w:val="false"/>
          <w:i w:val="false"/>
          <w:iCs w:val="false"/>
          <w:color w:val="000000"/>
          <w:sz w:val="24"/>
          <w:szCs w:val="24"/>
          <w:rtl w:val="false"/>
        </w:rPr>
        <w:t xml:space="preserve">) ≪ τ</w:t>
      </w:r>
      <w:r>
        <w:rPr>
          <w:rFonts w:ascii="Times New Roman" w:cs="Times New Roman" w:eastAsia="SimSun" w:hAnsi="Times New Roman"/>
          <w:b w:val="false"/>
          <w:bCs w:val="false"/>
          <w:i w:val="false"/>
          <w:iCs w:val="false"/>
          <w:color w:val="000000"/>
          <w:sz w:val="24"/>
          <w:szCs w:val="24"/>
          <w:vertAlign w:val="subscript"/>
          <w:rtl w:val="false"/>
        </w:rPr>
        <w:t xml:space="preserve">H</w:t>
      </w:r>
      <w:r>
        <w:rPr>
          <w:rFonts w:ascii="Times New Roman" w:cs="Times New Roman" w:eastAsia="SimSun" w:hAnsi="Times New Roman"/>
          <w:b w:val="false"/>
          <w:bCs w:val="false"/>
          <w:i w:val="false"/>
          <w:iCs w:val="false"/>
          <w:color w:val="000000"/>
          <w:sz w:val="24"/>
          <w:szCs w:val="24"/>
          <w:rtl w:val="false"/>
        </w:rPr>
        <w:t xml:space="preserve">, so the next interrupt does not fire until a genuinely new branch point. The identity is the chain rule for conditional mutual information and is exact; the useful reading — that anchors which resolve the latent decision collapse the distribution — is an assumption-driven consequence, and its quantitative strength is precisely the information content I(Y</w:t>
      </w:r>
      <w:r>
        <w:rPr>
          <w:rFonts w:ascii="Times New Roman" w:cs="Times New Roman" w:eastAsia="SimSun" w:hAnsi="Times New Roman"/>
          <w:b w:val="false"/>
          <w:bCs w:val="false"/>
          <w:i w:val="false"/>
          <w:iCs w:val="false"/>
          <w:color w:val="000000"/>
          <w:sz w:val="24"/>
          <w:szCs w:val="24"/>
          <w:vertAlign w:val="subscript"/>
          <w:rtl w:val="false"/>
        </w:rPr>
        <w:t xml:space="preserve">t+k</w:t>
      </w:r>
      <w:r>
        <w:rPr>
          <w:rFonts w:ascii="Times New Roman" w:cs="Times New Roman" w:eastAsia="SimSun" w:hAnsi="Times New Roman"/>
          <w:b w:val="false"/>
          <w:bCs w:val="false"/>
          <w:i w:val="false"/>
          <w:iCs w:val="false"/>
          <w:color w:val="000000"/>
          <w:sz w:val="24"/>
          <w:szCs w:val="24"/>
          <w:rtl w:val="false"/>
        </w:rPr>
        <w:t xml:space="preserve">; A</w:t>
      </w:r>
      <w:r>
        <w:rPr>
          <w:rFonts w:ascii="Times New Roman" w:cs="Times New Roman" w:eastAsia="SimSun" w:hAnsi="Times New Roman"/>
          <w:b w:val="false"/>
          <w:bCs w:val="false"/>
          <w:i w:val="false"/>
          <w:iCs w:val="false"/>
          <w:color w:val="000000"/>
          <w:sz w:val="24"/>
          <w:szCs w:val="24"/>
          <w:vertAlign w:val="subscript"/>
          <w:rtl w:val="false"/>
        </w:rPr>
        <w:t xml:space="preserve">k</w:t>
      </w:r>
      <w:r>
        <w:rPr>
          <w:rFonts w:ascii="Times New Roman" w:cs="Times New Roman" w:eastAsia="SimSun" w:hAnsi="Times New Roman"/>
          <w:b w:val="false"/>
          <w:bCs w:val="false"/>
          <w:i w:val="false"/>
          <w:iCs w:val="false"/>
          <w:color w:val="000000"/>
          <w:sz w:val="24"/>
          <w:szCs w:val="24"/>
          <w:rtl w:val="false"/>
        </w:rPr>
        <w:t xml:space="preserve"> | y</w:t>
      </w:r>
      <w:r>
        <w:rPr>
          <w:rFonts w:ascii="Times New Roman" w:cs="Times New Roman" w:eastAsia="SimSun" w:hAnsi="Times New Roman"/>
          <w:b w:val="false"/>
          <w:bCs w:val="false"/>
          <w:i w:val="false"/>
          <w:iCs w:val="false"/>
          <w:color w:val="000000"/>
          <w:sz w:val="24"/>
          <w:szCs w:val="24"/>
          <w:vertAlign w:val="subscript"/>
          <w:rtl w:val="false"/>
        </w:rPr>
        <w:t xml:space="preserve">&lt;t</w:t>
      </w:r>
      <w:r>
        <w:rPr>
          <w:rFonts w:ascii="Times New Roman" w:cs="Times New Roman" w:eastAsia="SimSun" w:hAnsi="Times New Roman"/>
          <w:b w:val="false"/>
          <w:bCs w:val="false"/>
          <w:i w:val="false"/>
          <w:iCs w:val="false"/>
          <w:color w:val="000000"/>
          <w:sz w:val="24"/>
          <w:szCs w:val="24"/>
          <w:rtl w:val="false"/>
        </w:rPr>
        <w:t xml:space="preserve">), which Section 9's validation protocol measures rather than assumes. Appendix A.2 gives the derivation and discusses when the assumption fails (anchors that are lexically decisive but normatively ambiguous).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7.3 Theorem 2: Honest Expected Cost and Latency</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Analyses of caching architectures routinely assume a hit rate and ignore what happens on a miss — and they price interrupt-style oracle calls by their output tokens alone. SCRS's cost model refuses both conveniences. Let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be the probability that retrieval nominates a candidate that passes the transfer gate; let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be the conditional probability that an admitted run nevertheless halts (missing or stale evidence discovered at run time). Because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is defined conditionally on admission, the three request regimes — fast-path completion, admitted-then-halted, and miss — are disjoint by definition, and no independence assumption is required anywhere in the derivation. Let λ</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 [0, 1] be the fraction of rendered tokens produced by the oracle inside anchor windows, and let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be the expected number of anchor calls on a completed fast-path request — each of which is a genuine oracle invocation. The effective fast-path probability is then the identity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 (1 −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The expected number of oracle full-reasoning tokens per request is</w:t>
      </w:r>
    </w:p>
    <w:p>
      <w:pPr>
        <w:tabs>
          <w:tab w:val="center" w:pos="4394"/>
          <w:tab w:val="right" w:pos="8788"/>
        </w:tabs>
        <w:spacing w:after="120" w:before="120" w:line="360"/>
      </w:pPr>
      <w:r>
        <w:t xml:space="preserve">	</w:t>
      </w:r>
      <m:oMath>
        <m:r>
          <m:t>E[</m:t>
        </m:r>
        <m:sSub>
          <m:sSubPr/>
          <m:e>
            <m:r>
              <m:t>N</m:t>
            </m:r>
          </m:e>
          <m:sub>
            <m:r>
              <m:t>oracle</m:t>
            </m:r>
          </m:sub>
        </m:sSub>
        <m:r>
          <m:t xml:space="preserve">] = (1 − </m:t>
        </m:r>
        <m:sSub>
          <m:sSubPr/>
          <m:e>
            <m:r>
              <m:t>α</m:t>
            </m:r>
          </m:e>
          <m:sub>
            <m:r>
              <m:t>eff</m:t>
            </m:r>
          </m:sub>
        </m:sSub>
        <m:r>
          <m:t xml:space="preserve">) · </m:t>
        </m:r>
        <m:sSub>
          <m:sSubPr/>
          <m:e>
            <m:r>
              <m:t>N</m:t>
            </m:r>
          </m:e>
          <m:sub>
            <m:r>
              <m:t>CoT</m:t>
            </m:r>
          </m:sub>
        </m:sSub>
      </m:oMath>
      <w:r>
        <w:rPr>
          <w:rFonts w:ascii="Times New Roman" w:cs="Times New Roman" w:eastAsia="SimSun" w:hAnsi="Times New Roman"/>
          <w:sz w:val="24"/>
          <w:szCs w:val="24"/>
        </w:rPr>
        <w:t xml:space="preserve">	(17)</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where N</w:t>
      </w:r>
      <w:r>
        <w:rPr>
          <w:rFonts w:ascii="Times New Roman" w:cs="Times New Roman" w:eastAsia="SimSun" w:hAnsi="Times New Roman"/>
          <w:b w:val="false"/>
          <w:bCs w:val="false"/>
          <w:i w:val="false"/>
          <w:iCs w:val="false"/>
          <w:color w:val="000000"/>
          <w:sz w:val="24"/>
          <w:szCs w:val="24"/>
          <w:vertAlign w:val="subscript"/>
          <w:rtl w:val="false"/>
        </w:rPr>
        <w:t xml:space="preserve">CoT</w:t>
      </w:r>
      <w:r>
        <w:rPr>
          <w:rFonts w:ascii="Times New Roman" w:cs="Times New Roman" w:eastAsia="SimSun" w:hAnsi="Times New Roman"/>
          <w:b w:val="false"/>
          <w:bCs w:val="false"/>
          <w:i w:val="false"/>
          <w:iCs w:val="false"/>
          <w:color w:val="000000"/>
          <w:sz w:val="24"/>
          <w:szCs w:val="24"/>
          <w:rtl w:val="false"/>
        </w:rPr>
        <w:t xml:space="preserve"> is the mean full-reasoning-plus-answer length of the oracle on this workload: full reasoning is produced only when the fast path fails — on a halt (probability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or a miss (probability 1 −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 and the two together weigh exactly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The expected end-to-end latency is</w:t>
      </w:r>
    </w:p>
    <w:p>
      <w:pPr>
        <w:tabs>
          <w:tab w:val="center" w:pos="4394"/>
          <w:tab w:val="right" w:pos="8788"/>
        </w:tabs>
        <w:spacing w:after="120" w:before="120" w:line="360"/>
      </w:pPr>
      <w:r>
        <w:t xml:space="preserve">	</w:t>
      </w:r>
      <m:oMath>
        <m:r>
          <m:t>E[</m:t>
        </m:r>
        <m:sSub>
          <m:sSubPr/>
          <m:e>
            <m:r>
              <m:t>T</m:t>
            </m:r>
          </m:e>
          <m:sub>
            <m:r>
              <m:t>E2E</m:t>
            </m:r>
          </m:sub>
        </m:sSub>
        <m:r>
          <m:t xml:space="preserve">] = </m:t>
        </m:r>
        <m:sSub>
          <m:sSubPr/>
          <m:e>
            <m:r>
              <m:t>T</m:t>
            </m:r>
          </m:e>
          <m:sub>
            <m:r>
              <m:t>ext</m:t>
            </m:r>
          </m:sub>
        </m:sSub>
        <m:r>
          <m:t xml:space="preserve"> + </m:t>
        </m:r>
        <m:sSub>
          <m:sSubPr/>
          <m:e>
            <m:r>
              <m:t>T</m:t>
            </m:r>
          </m:e>
          <m:sub>
            <m:r>
              <m:t>ret</m:t>
            </m:r>
          </m:sub>
        </m:sSub>
        <m:r>
          <m:t xml:space="preserve"> + </m:t>
        </m:r>
        <m:sSub>
          <m:sSubPr/>
          <m:e>
            <m:r>
              <m:t>α</m:t>
            </m:r>
          </m:e>
          <m:sub>
            <m:r>
              <m:t>eff</m:t>
            </m:r>
          </m:sub>
        </m:sSub>
        <m:r>
          <m:t xml:space="preserve"> (</m:t>
        </m:r>
        <m:sSub>
          <m:sSubPr/>
          <m:e>
            <m:r>
              <m:t>T</m:t>
            </m:r>
          </m:e>
          <m:sub>
            <m:r>
              <m:t>DAG</m:t>
            </m:r>
          </m:sub>
        </m:sSub>
        <m:r>
          <m:t xml:space="preserve"> + </m:t>
        </m:r>
        <m:sSub>
          <m:sSubPr/>
          <m:e>
            <m:r>
              <m:t>T</m:t>
            </m:r>
          </m:e>
          <m:sub>
            <m:r>
              <m:t>SLM</m:t>
            </m:r>
          </m:sub>
        </m:sSub>
        <m:r>
          <m:t xml:space="preserve"> + </m:t>
        </m:r>
        <m:sSub>
          <m:sSubPr/>
          <m:e>
            <m:r>
              <m:t>n</m:t>
            </m:r>
          </m:e>
          <m:sub>
            <m:r>
              <m:t>anch</m:t>
            </m:r>
          </m:sub>
        </m:sSub>
        <m:r>
          <m:t xml:space="preserve"> </m:t>
        </m:r>
        <m:sSub>
          <m:sSubPr/>
          <m:e>
            <m:r>
              <m:t>T</m:t>
            </m:r>
          </m:e>
          <m:sub>
            <m:r>
              <m:t>anchor</m:t>
            </m:r>
          </m:sub>
        </m:sSub>
        <m:r>
          <m:t>)</m:t>
        </m:r>
      </m:oMath>
    </w:p>
    <w:p>
      <w:pPr>
        <w:tabs>
          <w:tab w:val="center" w:pos="4394"/>
          <w:tab w:val="right" w:pos="8788"/>
        </w:tabs>
        <w:spacing w:after="120" w:before="120" w:line="360"/>
      </w:pPr>
      <w:r>
        <w:t xml:space="preserve">	</w:t>
      </w:r>
      <m:oMath>
        <m:r>
          <m:t xml:space="preserve"> + </m:t>
        </m:r>
        <m:sSub>
          <m:sSubPr/>
          <m:e>
            <m:r>
              <m:t>p</m:t>
            </m:r>
          </m:e>
          <m:sub>
            <m:r>
              <m:t>hit</m:t>
            </m:r>
          </m:sub>
        </m:sSub>
        <m:r>
          <m:t xml:space="preserve"> </m:t>
        </m:r>
        <m:sSub>
          <m:sSubPr/>
          <m:e>
            <m:r>
              <m:t>p</m:t>
            </m:r>
          </m:e>
          <m:sub>
            <m:r>
              <m:t>halt</m:t>
            </m:r>
          </m:sub>
        </m:sSub>
        <m:r>
          <m:t xml:space="preserve"> </m:t>
        </m:r>
        <m:sSub>
          <m:sSubPr/>
          <m:e>
            <m:r>
              <m:t>T</m:t>
            </m:r>
          </m:e>
          <m:sub>
            <m:r>
              <m:t>bo</m:t>
            </m:r>
          </m:sub>
        </m:sSub>
        <m:r>
          <m:t xml:space="preserve"> + (1 − </m:t>
        </m:r>
        <m:sSub>
          <m:sSubPr/>
          <m:e>
            <m:r>
              <m:t>α</m:t>
            </m:r>
          </m:e>
          <m:sub>
            <m:r>
              <m:t>eff</m:t>
            </m:r>
          </m:sub>
        </m:sSub>
        <m:r>
          <m:t xml:space="preserve">) </m:t>
        </m:r>
        <m:sSub>
          <m:sSubPr/>
          <m:e>
            <m:r>
              <m:t>T</m:t>
            </m:r>
          </m:e>
          <m:sub>
            <m:r>
              <m:t>oracle</m:t>
            </m:r>
          </m:sub>
        </m:sSub>
      </m:oMath>
      <w:r>
        <w:rPr>
          <w:rFonts w:ascii="Times New Roman" w:cs="Times New Roman" w:eastAsia="SimSun" w:hAnsi="Times New Roman"/>
          <w:sz w:val="24"/>
          <w:szCs w:val="24"/>
        </w:rPr>
        <w:t xml:space="preserve">	(18)</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with T</w:t>
      </w:r>
      <w:r>
        <w:rPr>
          <w:rFonts w:ascii="Times New Roman" w:cs="Times New Roman" w:eastAsia="SimSun" w:hAnsi="Times New Roman"/>
          <w:b w:val="false"/>
          <w:bCs w:val="false"/>
          <w:i w:val="false"/>
          <w:iCs w:val="false"/>
          <w:color w:val="000000"/>
          <w:sz w:val="24"/>
          <w:szCs w:val="24"/>
          <w:vertAlign w:val="subscript"/>
          <w:rtl w:val="false"/>
        </w:rPr>
        <w:t xml:space="preserve">ext</w:t>
      </w:r>
      <w:r>
        <w:rPr>
          <w:rFonts w:ascii="Times New Roman" w:cs="Times New Roman" w:eastAsia="SimSun" w:hAnsi="Times New Roman"/>
          <w:b w:val="false"/>
          <w:bCs w:val="false"/>
          <w:i w:val="false"/>
          <w:iCs w:val="false"/>
          <w:color w:val="000000"/>
          <w:sz w:val="24"/>
          <w:szCs w:val="24"/>
          <w:rtl w:val="false"/>
        </w:rPr>
        <w:t xml:space="preserve">, T</w:t>
      </w:r>
      <w:r>
        <w:rPr>
          <w:rFonts w:ascii="Times New Roman" w:cs="Times New Roman" w:eastAsia="SimSun" w:hAnsi="Times New Roman"/>
          <w:b w:val="false"/>
          <w:bCs w:val="false"/>
          <w:i w:val="false"/>
          <w:iCs w:val="false"/>
          <w:color w:val="000000"/>
          <w:sz w:val="24"/>
          <w:szCs w:val="24"/>
          <w:vertAlign w:val="subscript"/>
          <w:rtl w:val="false"/>
        </w:rPr>
        <w:t xml:space="preserve">ret</w:t>
      </w:r>
      <w:r>
        <w:rPr>
          <w:rFonts w:ascii="Times New Roman" w:cs="Times New Roman" w:eastAsia="SimSun" w:hAnsi="Times New Roman"/>
          <w:b w:val="false"/>
          <w:bCs w:val="false"/>
          <w:i w:val="false"/>
          <w:iCs w:val="false"/>
          <w:color w:val="000000"/>
          <w:sz w:val="24"/>
          <w:szCs w:val="24"/>
          <w:rtl w:val="false"/>
        </w:rPr>
        <w:t xml:space="preserve"> the extraction and retrieval costs (including capsule fusion recompute), T</w:t>
      </w:r>
      <w:r>
        <w:rPr>
          <w:rFonts w:ascii="Times New Roman" w:cs="Times New Roman" w:eastAsia="SimSun" w:hAnsi="Times New Roman"/>
          <w:b w:val="false"/>
          <w:bCs w:val="false"/>
          <w:i w:val="false"/>
          <w:iCs w:val="false"/>
          <w:color w:val="000000"/>
          <w:sz w:val="24"/>
          <w:szCs w:val="24"/>
          <w:vertAlign w:val="subscript"/>
          <w:rtl w:val="false"/>
        </w:rPr>
        <w:t xml:space="preserve">DAG</w:t>
      </w:r>
      <w:r>
        <w:rPr>
          <w:rFonts w:ascii="Times New Roman" w:cs="Times New Roman" w:eastAsia="SimSun" w:hAnsi="Times New Roman"/>
          <w:b w:val="false"/>
          <w:bCs w:val="false"/>
          <w:i w:val="false"/>
          <w:iCs w:val="false"/>
          <w:color w:val="000000"/>
          <w:sz w:val="24"/>
          <w:szCs w:val="24"/>
          <w:rtl w:val="false"/>
        </w:rPr>
        <w:t xml:space="preserve"> the deterministic execution time, T</w:t>
      </w:r>
      <w:r>
        <w:rPr>
          <w:rFonts w:ascii="Times New Roman" w:cs="Times New Roman" w:eastAsia="SimSun" w:hAnsi="Times New Roman"/>
          <w:b w:val="false"/>
          <w:bCs w:val="false"/>
          <w:i w:val="false"/>
          <w:iCs w:val="false"/>
          <w:color w:val="000000"/>
          <w:sz w:val="24"/>
          <w:szCs w:val="24"/>
          <w:vertAlign w:val="subscript"/>
          <w:rtl w:val="false"/>
        </w:rPr>
        <w:t xml:space="preserve">SLM</w:t>
      </w:r>
      <w:r>
        <w:rPr>
          <w:rFonts w:ascii="Times New Roman" w:cs="Times New Roman" w:eastAsia="SimSun" w:hAnsi="Times New Roman"/>
          <w:b w:val="false"/>
          <w:bCs w:val="false"/>
          <w:i w:val="false"/>
          <w:iCs w:val="false"/>
          <w:color w:val="000000"/>
          <w:sz w:val="24"/>
          <w:szCs w:val="24"/>
          <w:rtl w:val="false"/>
        </w:rPr>
        <w:t xml:space="preserve"> the rendering time at the interrupt load λ</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 k·n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/|Y|, T</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the per-call anchor latency — context pre-processing, queueing and round-trip, and the decode of k anchor tokens —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the guard-and-abort overhead of a doomed fast path (retrieval, gate evaluation, partial execution and rendering) before the fallback, and 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the full oracle path. Two properties of Equation (18) matter. First, the bail-out overhead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is weighted by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 the probability that a halt actually occurs — rather than by the full fallback probability; weighting it inside the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term, as an earlier draft of this model did, mis-weights the halt regime. Second, the miss regime is priced explicitly: as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0 the architecture degrades gracefully to baseline-plus-guard-overhead, never below it. This is the formal counterpart of design principle P3.</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Anchor calls are also priced on both sides. Each interrupt re-sends the generated prefix, the capsules, and the serialized trace to the oracle as input, and receives k anchor tokens in return; with a stable prefix of a</w:t>
      </w:r>
      <w:r>
        <w:rPr>
          <w:rFonts w:ascii="Times New Roman" w:cs="Times New Roman" w:eastAsia="SimSun" w:hAnsi="Times New Roman"/>
          <w:b w:val="false"/>
          <w:bCs w:val="false"/>
          <w:i w:val="false"/>
          <w:iCs w:val="false"/>
          <w:color w:val="000000"/>
          <w:sz w:val="24"/>
          <w:szCs w:val="24"/>
          <w:vertAlign w:val="subscript"/>
          <w:rtl w:val="false"/>
        </w:rPr>
        <w:t xml:space="preserve">stab</w:t>
      </w:r>
      <w:r>
        <w:rPr>
          <w:rFonts w:ascii="Times New Roman" w:cs="Times New Roman" w:eastAsia="SimSun" w:hAnsi="Times New Roman"/>
          <w:b w:val="false"/>
          <w:bCs w:val="false"/>
          <w:i w:val="false"/>
          <w:iCs w:val="false"/>
          <w:color w:val="000000"/>
          <w:sz w:val="24"/>
          <w:szCs w:val="24"/>
          <w:rtl w:val="false"/>
        </w:rPr>
        <w:t xml:space="preserve"> tokens billed at the provider's cached-input factor β and an uncached suffix of a</w:t>
      </w:r>
      <w:r>
        <w:rPr>
          <w:rFonts w:ascii="Times New Roman" w:cs="Times New Roman" w:eastAsia="SimSun" w:hAnsi="Times New Roman"/>
          <w:b w:val="false"/>
          <w:bCs w:val="false"/>
          <w:i w:val="false"/>
          <w:iCs w:val="false"/>
          <w:color w:val="000000"/>
          <w:sz w:val="24"/>
          <w:szCs w:val="24"/>
          <w:vertAlign w:val="subscript"/>
          <w:rtl w:val="false"/>
        </w:rPr>
        <w:t xml:space="preserve">suf</w:t>
      </w:r>
      <w:r>
        <w:rPr>
          <w:rFonts w:ascii="Times New Roman" w:cs="Times New Roman" w:eastAsia="SimSun" w:hAnsi="Times New Roman"/>
          <w:b w:val="false"/>
          <w:bCs w:val="false"/>
          <w:i w:val="false"/>
          <w:iCs w:val="false"/>
          <w:color w:val="000000"/>
          <w:sz w:val="24"/>
          <w:szCs w:val="24"/>
          <w:rtl w:val="false"/>
        </w:rPr>
        <w:t xml:space="preserve"> tokens, the per-call anchor cost is</w:t>
      </w:r>
    </w:p>
    <w:p>
      <w:pPr>
        <w:tabs>
          <w:tab w:val="center" w:pos="4394"/>
          <w:tab w:val="right" w:pos="8788"/>
        </w:tabs>
        <w:spacing w:after="120" w:before="120" w:line="360"/>
      </w:pPr>
      <w:r>
        <w:t xml:space="preserve">	</w:t>
      </w:r>
      <m:oMath>
        <m:sSub>
          <m:sSubPr/>
          <m:e>
            <m:r>
              <m:t>C</m:t>
            </m:r>
          </m:e>
          <m:sub>
            <m:r>
              <m:t>anchor</m:t>
            </m:r>
          </m:sub>
        </m:sSub>
        <m:r>
          <m:t xml:space="preserve"> = </m:t>
        </m:r>
        <m:sSub>
          <m:sSubPr/>
          <m:e>
            <m:r>
              <m:t>c</m:t>
            </m:r>
          </m:e>
          <m:sub>
            <m:r>
              <m:t>inp</m:t>
            </m:r>
          </m:sub>
        </m:sSub>
        <m:r>
          <m:t xml:space="preserve"> (β </m:t>
        </m:r>
        <m:sSub>
          <m:sSubPr/>
          <m:e>
            <m:r>
              <m:t>a</m:t>
            </m:r>
          </m:e>
          <m:sub>
            <m:r>
              <m:t>stab</m:t>
            </m:r>
          </m:sub>
        </m:sSub>
        <m:r>
          <m:t xml:space="preserve"> + </m:t>
        </m:r>
        <m:sSub>
          <m:sSubPr/>
          <m:e>
            <m:r>
              <m:t>a</m:t>
            </m:r>
          </m:e>
          <m:sub>
            <m:r>
              <m:t>suf</m:t>
            </m:r>
          </m:sub>
        </m:sSub>
        <m:r>
          <m:t xml:space="preserve">) + </m:t>
        </m:r>
        <m:sSub>
          <m:sSubPr/>
          <m:e>
            <m:r>
              <m:t>c</m:t>
            </m:r>
          </m:e>
          <m:sub>
            <m:r>
              <m:t>out</m:t>
            </m:r>
          </m:sub>
        </m:sSub>
        <m:r>
          <m:t xml:space="preserve"> k</m:t>
        </m:r>
      </m:oMath>
      <w:r>
        <w:rPr>
          <w:rFonts w:ascii="Times New Roman" w:cs="Times New Roman" w:eastAsia="SimSun" w:hAnsi="Times New Roman"/>
          <w:sz w:val="24"/>
          <w:szCs w:val="24"/>
        </w:rPr>
        <w:t xml:space="preserve">	(19)</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and the expected cost per request is</w:t>
      </w:r>
    </w:p>
    <w:p>
      <w:pPr>
        <w:tabs>
          <w:tab w:val="center" w:pos="4394"/>
          <w:tab w:val="right" w:pos="8788"/>
        </w:tabs>
        <w:spacing w:after="120" w:before="120" w:line="360"/>
      </w:pPr>
      <w:r>
        <w:t xml:space="preserve">	</w:t>
      </w:r>
      <m:oMath>
        <m:r>
          <m:t>E[</m:t>
        </m:r>
        <m:sSub>
          <m:sSubPr/>
          <m:e>
            <m:r>
              <m:t>C</m:t>
            </m:r>
          </m:e>
          <m:sub>
            <m:r>
              <m:t>req</m:t>
            </m:r>
          </m:sub>
        </m:sSub>
        <m:r>
          <m:t xml:space="preserve">] = </m:t>
        </m:r>
        <m:sSub>
          <m:sSubPr/>
          <m:e>
            <m:r>
              <m:t>C</m:t>
            </m:r>
          </m:e>
          <m:sub>
            <m:r>
              <m:t>host</m:t>
            </m:r>
          </m:sub>
        </m:sSub>
        <m:r>
          <m:t xml:space="preserve"> + </m:t>
        </m:r>
        <m:sSub>
          <m:sSubPr/>
          <m:e>
            <m:r>
              <m:t>α</m:t>
            </m:r>
          </m:e>
          <m:sub>
            <m:r>
              <m:t>eff</m:t>
            </m:r>
          </m:sub>
        </m:sSub>
        <m:r>
          <m:t xml:space="preserve"> </m:t>
        </m:r>
        <m:sSub>
          <m:sSubPr/>
          <m:e>
            <m:r>
              <m:t>n</m:t>
            </m:r>
          </m:e>
          <m:sub>
            <m:r>
              <m:t>anch</m:t>
            </m:r>
          </m:sub>
        </m:sSub>
        <m:r>
          <m:t xml:space="preserve"> </m:t>
        </m:r>
        <m:sSub>
          <m:sSubPr/>
          <m:e>
            <m:r>
              <m:t>C</m:t>
            </m:r>
          </m:e>
          <m:sub>
            <m:r>
              <m:t>anchor</m:t>
            </m:r>
          </m:sub>
        </m:sSub>
        <m:r>
          <m:t xml:space="preserve"> + </m:t>
        </m:r>
        <m:sSub>
          <m:sSubPr/>
          <m:e>
            <m:r>
              <m:t>p</m:t>
            </m:r>
          </m:e>
          <m:sub>
            <m:r>
              <m:t>hit</m:t>
            </m:r>
          </m:sub>
        </m:sSub>
        <m:r>
          <m:t xml:space="preserve"> </m:t>
        </m:r>
        <m:sSub>
          <m:sSubPr/>
          <m:e>
            <m:r>
              <m:t>p</m:t>
            </m:r>
          </m:e>
          <m:sub>
            <m:r>
              <m:t>halt</m:t>
            </m:r>
          </m:sub>
        </m:sSub>
        <m:r>
          <m:t xml:space="preserve"> </m:t>
        </m:r>
        <m:sSub>
          <m:sSubPr/>
          <m:e>
            <m:r>
              <m:t>C</m:t>
            </m:r>
          </m:e>
          <m:sub>
            <m:r>
              <m:t>bo</m:t>
            </m:r>
          </m:sub>
        </m:sSub>
      </m:oMath>
    </w:p>
    <w:p>
      <w:pPr>
        <w:tabs>
          <w:tab w:val="center" w:pos="4394"/>
          <w:tab w:val="right" w:pos="8788"/>
        </w:tabs>
        <w:spacing w:after="120" w:before="120" w:line="360"/>
      </w:pPr>
      <w:r>
        <w:t xml:space="preserve">	</w:t>
      </w:r>
      <m:oMath>
        <m:r>
          <m:t xml:space="preserve"> + (1 − </m:t>
        </m:r>
        <m:sSub>
          <m:sSubPr/>
          <m:e>
            <m:r>
              <m:t>α</m:t>
            </m:r>
          </m:e>
          <m:sub>
            <m:r>
              <m:t>eff</m:t>
            </m:r>
          </m:sub>
        </m:sSub>
        <m:r>
          <m:t xml:space="preserve">) </m:t>
        </m:r>
        <m:sSub>
          <m:sSubPr/>
          <m:e>
            <m:r>
              <m:t>C</m:t>
            </m:r>
          </m:e>
          <m:sub>
            <m:r>
              <m:t>oracle</m:t>
            </m:r>
          </m:sub>
        </m:sSub>
      </m:oMath>
      <w:r>
        <w:rPr>
          <w:rFonts w:ascii="Times New Roman" w:cs="Times New Roman" w:eastAsia="SimSun" w:hAnsi="Times New Roman"/>
          <w:sz w:val="24"/>
          <w:szCs w:val="24"/>
        </w:rPr>
        <w:t xml:space="preserve">	(20)</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with C</w:t>
      </w:r>
      <w:r>
        <w:rPr>
          <w:rFonts w:ascii="Times New Roman" w:cs="Times New Roman" w:eastAsia="SimSun" w:hAnsi="Times New Roman"/>
          <w:b w:val="false"/>
          <w:bCs w:val="false"/>
          <w:i w:val="false"/>
          <w:iCs w:val="false"/>
          <w:color w:val="000000"/>
          <w:sz w:val="24"/>
          <w:szCs w:val="24"/>
          <w:vertAlign w:val="subscript"/>
          <w:rtl w:val="false"/>
        </w:rPr>
        <w:t xml:space="preserve">host</w:t>
      </w:r>
      <w:r>
        <w:rPr>
          <w:rFonts w:ascii="Times New Roman" w:cs="Times New Roman" w:eastAsia="SimSun" w:hAnsi="Times New Roman"/>
          <w:b w:val="false"/>
          <w:bCs w:val="false"/>
          <w:i w:val="false"/>
          <w:iCs w:val="false"/>
          <w:color w:val="000000"/>
          <w:sz w:val="24"/>
          <w:szCs w:val="24"/>
          <w:rtl w:val="false"/>
        </w:rPr>
        <w:t xml:space="preserve"> the amortised hosting of the local model, C</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the wasted fast-path spend of a halt, and C</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the full oracle cost on the fallback path. The derivation is Appendix A.3. The salient discipline these equations impose is honest accounting of oracle involvement: a request that fires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anchor calls and completes locally has avoided one full oracle completion, but it has made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oracle calls, and Equations (18)–(20) charge each of them its input tokens, its output tokens, and its latency. Ignoring the input side — as models that price interrupts by output alone implicitly do — materially overstates the savings of interrupt-style schemes on long-context workloads; Section 9 exhibits exactly this effect.</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7.4 Theorem 3: Fail-Closed Soundness of the Transfer Gate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Theorem 3. </w:t>
      </w:r>
      <w:r>
        <w:rPr>
          <w:rFonts w:ascii="Times New Roman" w:cs="Times New Roman" w:eastAsia="SimSun" w:hAnsi="Times New Roman"/>
          <w:b w:val="false"/>
          <w:bCs w:val="false"/>
          <w:i w:val="false"/>
          <w:iCs w:val="false"/>
          <w:color w:val="000000"/>
          <w:sz w:val="24"/>
          <w:szCs w:val="24"/>
          <w:rtl w:val="false"/>
        </w:rPr>
        <w:t xml:space="preserve">Let a candidate transfer x be evaluated by the gate of Section 5.3 under the following assumptions: (A1) every conjunct is evaluated with explicit-affirmative semantics — a conjunct yields ‘true’ only on positively verified typed evidence, and any false, missing, unknown, or non-boolean value (e.g., a truthy ‘unknown’ status) is treated as failure; (A2) the domain identifiers are produced by a versioned canonicalization mapping certified injective on the declared taxonomy, or an explicit collision/ambiguity check is in force; (A3) per-side version-currency status is available from the registry, and equality of versions is accepted only when both sides are explicitly current and supported; and (A4) no execution path consumes the candidate without evaluating the gate. Then any candidate that violates at least one acceptance condition — including domain mismatch, contract-version mismatch, equal-but-stale versions, canonicalization collision, or any unverified status — is rejected; no incorrect acceptance is derivable at the gate level under A1–A4.</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Proof sketch. </w:t>
      </w:r>
      <w:r>
        <w:rPr>
          <w:rFonts w:ascii="Times New Roman" w:cs="Times New Roman" w:eastAsia="SimSun" w:hAnsi="Times New Roman"/>
          <w:b w:val="false"/>
          <w:bCs w:val="false"/>
          <w:i w:val="false"/>
          <w:iCs w:val="false"/>
          <w:color w:val="000000"/>
          <w:sz w:val="24"/>
          <w:szCs w:val="24"/>
          <w:rtl w:val="false"/>
        </w:rPr>
        <w:t xml:space="preserve">Acceptance is the conjunction of the gate's conditions. Under (A1) each conjunct is two-valued over verified evidence and fails closed otherwise, so the conjunction is true only if every condition holds on positive evidence; any violation therefore forces rejection, and rejection is the default for every unresolvable input. Under (A2) the equality conjunct dom(S</w:t>
      </w:r>
      <w:r>
        <w:rPr>
          <w:rFonts w:ascii="Times New Roman" w:cs="Times New Roman" w:eastAsia="SimSun" w:hAnsi="Times New Roman"/>
          <w:b w:val="false"/>
          <w:bCs w:val="false"/>
          <w:i w:val="false"/>
          <w:iCs w:val="false"/>
          <w:color w:val="000000"/>
          <w:sz w:val="24"/>
          <w:szCs w:val="24"/>
          <w:vertAlign w:val="subscript"/>
          <w:rtl w:val="false"/>
        </w:rPr>
        <w:t xml:space="preserve">q</w:t>
      </w:r>
      <w:r>
        <w:rPr>
          <w:rFonts w:ascii="Times New Roman" w:cs="Times New Roman" w:eastAsia="SimSun" w:hAnsi="Times New Roman"/>
          <w:b w:val="false"/>
          <w:bCs w:val="false"/>
          <w:i w:val="false"/>
          <w:iCs w:val="false"/>
          <w:color w:val="000000"/>
          <w:sz w:val="24"/>
          <w:szCs w:val="24"/>
          <w:rtl w:val="false"/>
        </w:rPr>
        <w:t xml:space="preserve">) = dom(E</w:t>
      </w:r>
      <w:r>
        <w:rPr>
          <w:rFonts w:ascii="Times New Roman" w:cs="Times New Roman" w:eastAsia="SimSun" w:hAnsi="Times New Roman"/>
          <w:b w:val="false"/>
          <w:bCs w:val="false"/>
          <w:i w:val="false"/>
          <w:iCs w:val="false"/>
          <w:color w:val="000000"/>
          <w:sz w:val="24"/>
          <w:szCs w:val="24"/>
          <w:vertAlign w:val="subscript"/>
          <w:rtl w:val="false"/>
        </w:rPr>
        <w:t xml:space="preserve">scope</w:t>
      </w:r>
      <w:r>
        <w:rPr>
          <w:rFonts w:ascii="Times New Roman" w:cs="Times New Roman" w:eastAsia="SimSun" w:hAnsi="Times New Roman"/>
          <w:b w:val="false"/>
          <w:bCs w:val="false"/>
          <w:i w:val="false"/>
          <w:iCs w:val="false"/>
          <w:color w:val="000000"/>
          <w:sz w:val="24"/>
          <w:szCs w:val="24"/>
          <w:rtl w:val="false"/>
        </w:rPr>
        <w:t xml:space="preserve">) cannot be satisfied by two distinct domains, because an injective mapping maps distinct inputs to distinct identifiers and the collision check rejects any residual ambiguity; hence domain equality is sound, not merely syntactic. Under (A3) the version conjunct cannot be satisfied by stale metadata even when the versions match. Under (A4) the gate's decision is binding. The full case analysis, including the enumeration of rejection codes and the treatment of registry unavailability, is Appendix A.4.</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theorem's scope is deliberately narrow: it is a statement about the specified decision procedure under assumptions A1–A4, not about the deployed system. It does not establish that upstream domain extraction is error-free, that the compatibility policy is complete, that the registry is always available, or that the end-to-end empirical error rate is zero — the three-level distinction of Section 5.2 applies in full. What it does provide is the formal core that the conformance suite of Section 8.5 checks implementation-side, and that the trap benchmark of Section 9.5 is designed to test system-side.</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8. Reference Implementation and Reproducibility Protocol</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8.1 Pinned Reference Stack</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To make every number in this paper reproducible by an independent group, the reference implementation pins the full stack with exact versions rather than version ranges — a lesson from earlier drafts, in which a range such as ‘vLLM 0.6.x’ left the throughput characteristics underdetermined. The orchestrator runs on Node.js 22.11 LTS with TypeScript 5.6 and Drizzle ORM over PostgreSQL 16.4 with the pgvector 0.7.4 extension. The vector index is HNSW [26] with cosine distance, build parameters m = 16 and ef_construction = 64, and query-time hnsw.ef_search = 40; the embedding model is text-embedding-3-small at a fixed 1536 dimensions with L2 normalisation. The small model of Tiers I and III is Qwen/Qwen2.5-7B-Instruct [28] (pinned revision, Qwen2.5 tokenizer) quantised to FP8 (E4M3 weights with per-token dynamic activation scaling via vLLM's built-in fp8 path) and served by vLLM 0.6.6 [6]; the 0.6 series is pinned deliberately, since the 0.7+ V1 engine changed scheduler behaviour, and moving to a newer series is a protocol change that requires re-running Section 9. The environment is Python 3.11.10, PyTorch 2.4.0+cu124, CUDA 12.4, on a single NVIDIA L40S (48 GB). Oracle calls in the projection of Section 9 are costed at an assumed frontier-class API tariff of USD 2.50 per 1M input tokens and USD 10.00 per 1M output tokens (tariff date October 2026); the stack is deliberately agnostic to the specific provider, and the tariff enters the projection script as an explicit parameter. Every input used in Section 9 — versions, thresholds, tariffs, latencies, token counts — is recorded in the released script table2.py, which regenerates Table 2 and Figure 3 mechanically.</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8.2 Pinned Parameters and Determinism</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All structural extraction and graph compilation calls run with temperature 0.0, top_p = 1.0, and seed = 42. The Tier III monitors are pinned to τ_H = 1.85 bits, τ_Δ = 0.22, k = 5 anchor tokens, and w_cool = 12 tokens; the retrieval gate to θ_cand = 0.90; shadow validation to M = 20 agreeing runs. Table 1 consolidates the configuration. Seed-level pinning does not by itself guarantee bit-identical oracle outputs across providers or hardware; determinism claims in this paper are therefore confined to Tier II execution (Theorem 1), where no stochastic component exists — a distinction we consider essential to honest reporting.</w:t>
      </w:r>
    </w:p>
    <w:p>
      <w:pPr>
        <w:keepNext/>
        <w:spacing w:after="80" w:before="200" w:line="300"/>
        <w:jc w:val="center"/>
      </w:pPr>
      <w:r>
        <w:rPr>
          <w:rFonts w:ascii="Times New Roman" w:cs="Times New Roman" w:eastAsia="SimSun" w:hAnsi="Times New Roman"/>
          <w:b/>
          <w:bCs/>
          <w:i w:val="false"/>
          <w:iCs w:val="false"/>
          <w:color w:val="000000"/>
          <w:sz w:val="21"/>
          <w:szCs w:val="21"/>
          <w:rtl w:val="false"/>
        </w:rPr>
        <w:t xml:space="preserve">Table 1. </w:t>
      </w:r>
      <w:r>
        <w:rPr>
          <w:rFonts w:ascii="Times New Roman" w:cs="Times New Roman" w:eastAsia="SimSun" w:hAnsi="Times New Roman"/>
          <w:b w:val="false"/>
          <w:bCs w:val="false"/>
          <w:i w:val="false"/>
          <w:iCs w:val="false"/>
          <w:color w:val="000000"/>
          <w:sz w:val="21"/>
          <w:szCs w:val="21"/>
          <w:rtl w:val="false"/>
        </w:rPr>
        <w:t xml:space="preserve">Pinned configuration of the reference implementation.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373"/>
        <w:gridCol w:w="2021"/>
        <w:gridCol w:w="2373"/>
        <w:gridCol w:w="2021"/>
      </w:tblGrid>
      <w:tr>
        <w:trPr>
          <w:cantSplit/>
          <w:tblHeader/>
        </w:trPr>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left"/>
            </w:pPr>
            <w:r>
              <w:rPr>
                <w:rFonts w:ascii="Times New Roman" w:cs="Times New Roman" w:eastAsia="SimSun" w:hAnsi="Times New Roman"/>
                <w:b/>
                <w:bCs/>
                <w:i w:val="false"/>
                <w:iCs w:val="false"/>
                <w:color w:val="000000"/>
                <w:sz w:val="18"/>
                <w:szCs w:val="18"/>
                <w:rtl w:val="false"/>
              </w:rPr>
              <w:t xml:space="preserve">Parameter</w:t>
            </w:r>
          </w:p>
        </w:tc>
        <w:tc>
          <w:tcPr>
            <w:tcW w:type="pct" w:w="11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Value</w:t>
            </w:r>
          </w:p>
        </w:tc>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Parameter</w:t>
            </w:r>
          </w:p>
        </w:tc>
        <w:tc>
          <w:tcPr>
            <w:tcW w:type="pct" w:w="11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Value</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Orchestrator</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Node.js 22.11 / TS 5.6</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Entropy threshold τ_H</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1.85 bits</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Runtime env.</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Python 3.11.10 / PyTorch 2.4.0+cu124</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Confidence margin τ_Δ</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0.22</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Serving runtime</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vLLM 0.6.6 (pinned), FP8 E4M3</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Anchor length k</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5 tokens</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Local SLM</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Qwen/Qwen2.5-7B-Instruct [28]</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Cooldown window w_cool</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12 tokens</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Database</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PostgreSQL 16.4 + pgvector 0.7.4</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Candidate threshold θ_cand</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0.90</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HNSW build / query</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m = 16, ef_c = 64 / ef_s = 40</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Shadow-validation runs M</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20</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Embedding model</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text-embedding-3-small (1536-d, L2)</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Extraction seed / temp</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42 / 0.0</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Accelerator</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1 × NVIDIA L40S (48 GB)</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Graph depth bound D_max / Top-K</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16 / 10</w:t>
            </w:r>
          </w:p>
        </w:tc>
      </w:tr>
    </w:tbl>
    <w:p>
      <w:pPr>
        <w:spacing w:after="200" w:before="60" w:line="280"/>
        <w:jc w:val="both"/>
      </w:pPr>
      <w:r>
        <w:rPr>
          <w:rFonts w:ascii="Times New Roman" w:cs="Times New Roman" w:eastAsia="SimSun" w:hAnsi="Times New Roman"/>
          <w:b w:val="false"/>
          <w:bCs w:val="false"/>
          <w:i w:val="false"/>
          <w:iCs w:val="false"/>
          <w:color w:val="000000"/>
          <w:sz w:val="18"/>
          <w:szCs w:val="18"/>
          <w:rtl w:val="false"/>
        </w:rPr>
        <w:t xml:space="preserve">All thresholds are deployment-tunable; the pinned values above define the configuration under which the projections of Section 9 are computed, and changing them — including the serving-runtime series — requires re-running the protocol of Section 9.5.</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8.3 The Unified Pipeline Algorithm</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Algorithm 1 gives the complete request pipeline in the form implemented by the reference stack, including the telemetry contract (P4). Control flow is bounded and explicit: the generation loop maintains its own step counter and a maximum-output cap N</w:t>
      </w:r>
      <w:r>
        <w:rPr>
          <w:rFonts w:ascii="Times New Roman" w:cs="Times New Roman" w:eastAsia="SimSun" w:hAnsi="Times New Roman"/>
          <w:b w:val="false"/>
          <w:bCs w:val="false"/>
          <w:i w:val="false"/>
          <w:iCs w:val="false"/>
          <w:color w:val="000000"/>
          <w:sz w:val="24"/>
          <w:szCs w:val="24"/>
          <w:vertAlign w:val="subscript"/>
          <w:rtl w:val="false"/>
        </w:rPr>
        <w:t xml:space="preserve">max</w:t>
      </w:r>
      <w:r>
        <w:rPr>
          <w:rFonts w:ascii="Times New Roman" w:cs="Times New Roman" w:eastAsia="SimSun" w:hAnsi="Times New Roman"/>
          <w:b w:val="false"/>
          <w:bCs w:val="false"/>
          <w:i w:val="false"/>
          <w:iCs w:val="false"/>
          <w:color w:val="000000"/>
          <w:sz w:val="24"/>
          <w:szCs w:val="24"/>
          <w:rtl w:val="false"/>
        </w:rPr>
        <w:t xml:space="preserve">; the interrupt counter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is incremented exactly at the point an interrupt is accepted — at the </w:t>
      </w:r>
      <w:r>
        <w:rPr>
          <w:rFonts w:ascii="Times New Roman" w:cs="Times New Roman" w:eastAsia="SimSun" w:hAnsi="Times New Roman"/>
          <w:b/>
          <w:bCs/>
          <w:i w:val="false"/>
          <w:iCs w:val="false"/>
          <w:color w:val="000000"/>
          <w:sz w:val="24"/>
          <w:szCs w:val="24"/>
          <w:rtl w:val="false"/>
        </w:rPr>
        <w:t xml:space="preserve">runtime-event boundary</w:t>
      </w:r>
      <w:r>
        <w:rPr>
          <w:rFonts w:ascii="Times New Roman" w:cs="Times New Roman" w:eastAsia="SimSun" w:hAnsi="Times New Roman"/>
          <w:b w:val="false"/>
          <w:bCs w:val="false"/>
          <w:i w:val="false"/>
          <w:iCs w:val="false"/>
          <w:color w:val="000000"/>
          <w:sz w:val="24"/>
          <w:szCs w:val="24"/>
          <w:rtl w:val="false"/>
        </w:rPr>
        <w:t xml:space="preserve"> — while attempts, provider generations, and token counts are incremented at the </w:t>
      </w:r>
      <w:r>
        <w:rPr>
          <w:rFonts w:ascii="Times New Roman" w:cs="Times New Roman" w:eastAsia="SimSun" w:hAnsi="Times New Roman"/>
          <w:b/>
          <w:bCs/>
          <w:i w:val="false"/>
          <w:iCs w:val="false"/>
          <w:color w:val="000000"/>
          <w:sz w:val="24"/>
          <w:szCs w:val="24"/>
          <w:rtl w:val="false"/>
        </w:rPr>
        <w:t xml:space="preserve">transport boundary</w:t>
      </w:r>
      <w:r>
        <w:rPr>
          <w:rFonts w:ascii="Times New Roman" w:cs="Times New Roman" w:eastAsia="SimSun" w:hAnsi="Times New Roman"/>
          <w:b w:val="false"/>
          <w:bCs w:val="false"/>
          <w:i w:val="false"/>
          <w:iCs w:val="false"/>
          <w:color w:val="000000"/>
          <w:sz w:val="24"/>
          <w:szCs w:val="24"/>
          <w:rtl w:val="false"/>
        </w:rPr>
        <w:t xml:space="preserve"> inside the instrumented client, one increment per actual HTTP attempt including retries; anchor-call failures, token-cap exhaustion, and answer–trace mismatches all route deterministically to the fallback path with a typed reason code, and </w:t>
      </w:r>
      <w:r>
        <w:rPr>
          <w:rFonts w:ascii="Times New Roman" w:cs="Times New Roman" w:eastAsia="SimSun" w:hAnsi="Times New Roman"/>
          <w:b/>
          <w:bCs/>
          <w:i w:val="false"/>
          <w:iCs w:val="false"/>
          <w:color w:val="000000"/>
          <w:sz w:val="24"/>
          <w:szCs w:val="24"/>
          <w:rtl w:val="false"/>
        </w:rPr>
        <w:t xml:space="preserve">path ← FAST_PATH is assigned only when rendering reaches EOS without a declared mid-render fallback</w:t>
      </w:r>
      <w:r>
        <w:rPr>
          <w:rFonts w:ascii="Times New Roman" w:cs="Times New Roman" w:eastAsia="SimSun" w:hAnsi="Times New Roman"/>
          <w:b w:val="false"/>
          <w:bCs w:val="false"/>
          <w:i w:val="false"/>
          <w:iCs w:val="false"/>
          <w:color w:val="000000"/>
          <w:sz w:val="24"/>
          <w:szCs w:val="24"/>
          <w:rtl w:val="false"/>
        </w:rPr>
        <w:t xml:space="preserve">, so a request that fell back after one or more interrupts is never summarised as a fast-path success. Provider-side evidence is tri-state: a confirmed response advances the generation counter and the returned/billed token counters (billing that no feed covers is recorded as UNAVAILABLE, never as zero), whereas a timeout or transport error leaves the generation counter untouched and the evidence state UNKNOWN with a reason code — an unknown outcome is never silently counted as zero. Ingestion deduplicates events by the stable identifier (request id, interrupt sequence, attempt number, event type) before any aggregation, so replays cannot inflate counters. These are the properties that make Equations (18)–(20) directly measurable at run time, and an independent test suite exercises the loop in all regimes: no interrupt, one interrupt, multiple interrupts, EOS termination, token-cap termination, oracle failure with known and unknown outcomes, and mid-render fallback after interrupts.</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ALGORITHM 1: Unified SCRS execution pipeline (corrected control flow)</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Input : query q; domain context d_ctx; tenant id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Config: theta_cand=0.90; tau_H=1.85; tau_D=0.22; k=5; w=12; N_max=1024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Output: answer Y; verified trace T_exec; telemetry record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1  t0 &lt;- HighResTimer.now(); path &lt;- UNSET; reason &lt;-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2  // RUNTIME-EVENT counters (runtime boundary):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3  n_anch &lt;- 0; n_slm &lt;- 0; n_full &lt;- 0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4  // TRANSPORT counters (instrumented client boundary):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5  n_att &lt;- 0; n_gen &lt;- 0; ev &lt;- CONFIRMED; ev_reason &lt;-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6  tok_ret &lt;- 0; tok_bill &lt;- 0; tok_bill_ev &lt;- CONFIRMED; a_in_tot &lt;- 0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7  // STEP 1: typed structural extraction (SLM, pinned seed)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8  (S_q, n_ext) &lt;- SLM.extractTypedStructure(q, d_ctx, seed=42, temp=0)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9  v_q &lt;- Embedder.embedPinned1536(S_q.canonicalSignature)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10  // STEP 2: candidate retrieval (nomination only, tenant-scoped)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11  cands &lt;- Index.queryHNSW(v_q, tenant=tid, limit=3)</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12  sel &lt;- NULL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13  for cand in cands do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14      if cand.sim &gt;= theta_cand AND StaticValidator(cand.graph).valid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15          if TransferGate(S_q, cand.graph, tid) == TRUE then sel &lt;- cand; break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16  // STEP 3: evidence resolution and deterministic execution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17  if sel != NULL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18      caps &lt;- CapsuleStore.resolve(sel.graph.evidenceSpecs,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19      outcome &lt;- DeterministicExecutor(sel.graph, S_q.bindings, 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20      if outcome.status == COMPLETED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21          // STEP 4: bounded entropy-interrupt rendering</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22          Y &lt;- ''; step &lt;- 0; t_last &lt;- -inf</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23          prompt &lt;- BuildSafeStructuredPrompt(q, outcome.context, 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24          while step &lt; N_max AND not IsEOS(Y) do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25              step &lt;- step + 1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26              (tok, topK) &lt;- SLM.stepWithLogprobs(prompt + Y, K=10)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27              H_t &lt;- TopKEntropy(topK); dP &lt;- topK[0] - topK[1]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28              if (H_t &gt; tau_H OR dP &lt; tau_D) AND (step - t_last &gt; w)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29                  n_anch &lt;- n_anch + 1   // runtime-event boundary: an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30                  a_in &lt;- LenTokens(prompt + Y)   // accepted interrupt,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31                  a_in_tot &lt;- a_in_tot + a_in     // counted exactly once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32                  resp &lt;- AnchorClient.send(prompt + Y, max=k)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33                      // inside send(): every HTTP attempt increments 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34                      // including retries; send() returns outcome evidence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35                  if resp.confirmed then       // CONFIRMED generation: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36                      n_gen &lt;- n_gen + 1; ev &lt;- CONFIRMED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37                      Y &lt;- Y + resp.anchors; n_anchor += len(resp.anchors)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38                      tok_ret &lt;- tok_ret + len(resp.anchors)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39                      t_last &lt;- step</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40                      if resp.billing then tok_bill &lt;- tok_bill + resp.billing</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41                      else tok_bill_ev &lt;- UNAVAILABLE   // reason: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42                          ev_reason &lt;- 'BILLING_FEED_MISSING'  // not zero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43                  else                         // timeout / transport error: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44                      ev &lt;- UNKNOWN            // n_gen NOT advanced;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45                      ev_reason &lt;- resp.outcome // billing stays UNKNOWN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46                  if AnchorPolicy.unrecoverable(ev, ev_reason)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47                      path &lt;- FALLBACK; reason &lt;- 'ANCHOR_API_FAIL'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48                      goto FALLBACK   // mid-render fallback: terminal regime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49                              // is FALLBACK although interrupts occurred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50              else Y &lt;- Y + tok; n_slm &lt;- n_slm + 1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51          if path != FALLBACK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52              if not IsEOS(Y) then path &lt;- FALLBACK; reason &lt;- 'MAX_TOKENS'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53              else if not ConsistencyCheck(Y, outcome.trace)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54                  Y &lt;- RenderDeterministicSections(outcome)  // STEP 4b</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55                  if not ConsistencyCheck(Y, outcome.trace)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56                      path &lt;- FALLBACK; reason &lt;- 'RENDER_MISMATCH'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57          if path != FALLBACK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58              path &lt;- FAST_PATH   // ONLY on clean EOS completion: every other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59                          // exit from the render loop lands in FALLBACK below</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60              M &lt;- Telemetry(path, n_ext, n_slm, n_anchor,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61                             interrupts=n_anch, attempts=n_att,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62                             generations=n_gen, ev=ev, tok_ret, tok_bill,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63                             tok_bill_ev, a_in_tot, fullOracle=0, n_full=0,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64                             fallbackAvoided=TRUE, elapsed=now()-t0)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65              return (Y, outcome.trace,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66      // HALTED_* verdicts fall through with the partial trace attached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67  // STEP 5: safe fallback, honest accounting, experimental compilation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68  FALLBACK: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69      n_full &lt;- n_full + 1   // runtime-event boundary: full fallback initiated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70      fCaps &lt;- CapsuleStore.resolveFallback(S_q.missingEvidenceIntents,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71      (Y, newGraph, n_reason, n_out) &lt;- Oracle.solveAndCompile(q, S_q, fCaps)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72      if StaticValidator(newGraph).valid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73          PersistExperimental(newGraph, S_q.canonicalSignature, status=EXPERIMENTAL)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74      M &lt;- Telemetry('FALLBACK_PATH', interrupts=n_anch, attempts=n_att,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75                     generations=n_gen, ev=ev, fullOracle=1, n_full,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76                     fallbackAvoided=FALSE, reason)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77      return (Y, [],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bl>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8.4 Telemetry Schema</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Every request emits a request-level record and an event-level record stream, with: the terminal regime (fast, halted, fallback) and its typed reason code; token counts attributed to extraction, retrieval, gate evaluation, deterministic execution, local rendering, anchor injection (input tokens and output tokens recorded separately), and fallback reasoning; the achieved prefix-cache ratio on anchor calls; the identities and versions of every pattern and capsule touched; and the guard decisions (gate rejections with reasons, halted verdicts with codes, consistency-check rejections). Event records carry a stable event identifier composed of (request id, interrupt sequence, attempt number, event type) and an explicit </w:t>
      </w:r>
      <w:r>
        <w:rPr>
          <w:rFonts w:ascii="Times New Roman" w:cs="Times New Roman" w:eastAsia="SimSun" w:hAnsi="Times New Roman"/>
          <w:b/>
          <w:bCs/>
          <w:i w:val="false"/>
          <w:iCs w:val="false"/>
          <w:color w:val="000000"/>
          <w:sz w:val="24"/>
          <w:szCs w:val="24"/>
          <w:rtl w:val="false"/>
        </w:rPr>
        <w:t xml:space="preserve">evidence status</w:t>
      </w:r>
      <w:r>
        <w:rPr>
          <w:rFonts w:ascii="Times New Roman" w:cs="Times New Roman" w:eastAsia="SimSun" w:hAnsi="Times New Roman"/>
          <w:b w:val="false"/>
          <w:bCs w:val="false"/>
          <w:i w:val="false"/>
          <w:iCs w:val="false"/>
          <w:color w:val="000000"/>
          <w:sz w:val="24"/>
          <w:szCs w:val="24"/>
          <w:rtl w:val="false"/>
        </w:rPr>
        <w:t xml:space="preserve"> ∈ {observed, provider-confirmed, estimated, unknown}; the ingestion layer deduplicates by this identifier before any aggregation — identical replays are marked and never re-counted, conflicting payloads are flagged and surfaced in the missing-data report — so counter values are advanced only by the runtime state machine of Algorithm 1 and never by ingestion replay. Provider-side quantities are tri-state at the summary level: anchor provider generations carry a CONFIRMED/UNKNOWN/UNAVAILABLE evidence state with reason codes, and any unknown or unavailable observation is never coerced to zero. Aggregate reporting computes the measurable counterparts of the model parameters: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FAST</w:t>
      </w:r>
      <w:r>
        <w:rPr>
          <w:rFonts w:ascii="Times New Roman" w:cs="Times New Roman" w:eastAsia="SimSun" w:hAnsi="Times New Roman"/>
          <w:b w:val="false"/>
          <w:bCs w:val="false"/>
          <w:i w:val="false"/>
          <w:iCs w:val="false"/>
          <w:color w:val="000000"/>
          <w:sz w:val="24"/>
          <w:szCs w:val="24"/>
          <w:rtl w:val="false"/>
        </w:rPr>
        <w:t xml:space="preserve">/N,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FAST</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HALTED</w:t>
      </w:r>
      <w:r>
        <w:rPr>
          <w:rFonts w:ascii="Times New Roman" w:cs="Times New Roman" w:eastAsia="SimSun" w:hAnsi="Times New Roman"/>
          <w:b w:val="false"/>
          <w:bCs w:val="false"/>
          <w:i w:val="false"/>
          <w:iCs w:val="false"/>
          <w:color w:val="000000"/>
          <w:sz w:val="24"/>
          <w:szCs w:val="24"/>
          <w:rtl w:val="false"/>
        </w:rPr>
        <w:t xml:space="preserve">)/N, and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HALTED</w:t>
      </w:r>
      <w:r>
        <w:rPr>
          <w:rFonts w:ascii="Times New Roman" w:cs="Times New Roman" w:eastAsia="SimSun" w:hAnsi="Times New Roman"/>
          <w:b w:val="false"/>
          <w:bCs w:val="false"/>
          <w:i w:val="false"/>
          <w:iCs w:val="false"/>
          <w:color w:val="000000"/>
          <w:sz w:val="24"/>
          <w:szCs w:val="24"/>
          <w:rtl w:val="false"/>
        </w:rPr>
        <w:t xml:space="preserve">/(N</w:t>
      </w:r>
      <w:r>
        <w:rPr>
          <w:rFonts w:ascii="Times New Roman" w:cs="Times New Roman" w:eastAsia="SimSun" w:hAnsi="Times New Roman"/>
          <w:b w:val="false"/>
          <w:bCs w:val="false"/>
          <w:i w:val="false"/>
          <w:iCs w:val="false"/>
          <w:color w:val="000000"/>
          <w:sz w:val="24"/>
          <w:szCs w:val="24"/>
          <w:vertAlign w:val="subscript"/>
          <w:rtl w:val="false"/>
        </w:rPr>
        <w:t xml:space="preserve">FAST</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HALTED</w:t>
      </w:r>
      <w:r>
        <w:rPr>
          <w:rFonts w:ascii="Times New Roman" w:cs="Times New Roman" w:eastAsia="SimSun" w:hAnsi="Times New Roman"/>
          <w:b w:val="false"/>
          <w:bCs w:val="false"/>
          <w:i w:val="false"/>
          <w:iCs w:val="false"/>
          <w:color w:val="000000"/>
          <w:sz w:val="24"/>
          <w:szCs w:val="24"/>
          <w:rtl w:val="false"/>
        </w:rPr>
        <w:t xml:space="preserve">) — a per-request quantity such as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is undefined and is never reported. Two derived-metric rules bind all reporting: anchor attempts, provider generations, and token totals are never equated with one another, and the metric ‘full-reasoning fallback avoided’ is emitted only as a tri-state — true only for a known fast-path terminal regime with zero full-fallback count, false for a known fallback regime, and unknown otherwise — so it can never imply that all oracle traffic was avoided. The benchmark harness of Section 9.5 reads exactly this schema, so that projected and eventually measured quantities are comparable by construction, and the joint distribution of retrieval success and halt is reported rather than the marginals alone.</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8.5 Executable Conformance Reference Model for the Gate</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Because Theorem 3 is a statement about a specified decision procedure, its implementation-side counterpart must be checkable: a conformance suite establishes that a concrete evaluator accepts exactly the inputs that satisfy the predicate. The project repository therefore releases a standard-library Python reference model of the acceptance contract — a specification oracle, explicitly not production code — together with a deterministic test suite of 26 cases (24 unit tests and 2 manifest-driven conformance tests) that all pass locally. The suite covers, per failure class: a compatible control case; domain mismatch; missing domain on the request side and on the capsule side; contract-version mismatch; </w:t>
      </w:r>
      <w:r>
        <w:rPr>
          <w:rFonts w:ascii="Times New Roman" w:cs="Times New Roman" w:eastAsia="SimSun" w:hAnsi="Times New Roman"/>
          <w:b/>
          <w:bCs/>
          <w:i w:val="false"/>
          <w:iCs w:val="false"/>
          <w:color w:val="000000"/>
          <w:sz w:val="24"/>
          <w:szCs w:val="24"/>
          <w:rtl w:val="false"/>
        </w:rPr>
        <w:t xml:space="preserve">equal-but-stale versions on both sides</w:t>
      </w:r>
      <w:r>
        <w:rPr>
          <w:rFonts w:ascii="Times New Roman" w:cs="Times New Roman" w:eastAsia="SimSun" w:hAnsi="Times New Roman"/>
          <w:b w:val="false"/>
          <w:bCs w:val="false"/>
          <w:i w:val="false"/>
          <w:iCs w:val="false"/>
          <w:color w:val="000000"/>
          <w:sz w:val="24"/>
          <w:szCs w:val="24"/>
          <w:rtl w:val="false"/>
        </w:rPr>
        <w:t xml:space="preserve"> (the version-currency conjunct of Theorem 3); truthy non-boolean status values (the string ‘unknown’ supplied to every boolean status field, each of which must fail closed); canonicalization collisions, uncertified mappings, and unsupported mapping versions; and the necessity of every required condition. The checked-in fixture manifest is machine-readable and is loaded by the tests themselves, so the advertised cases and the executed cases cannot drift apart.</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The evidence boundary is stated with the same discipline as the results: this is a </w:t>
      </w:r>
      <w:r>
        <w:rPr>
          <w:rFonts w:ascii="Times New Roman" w:cs="Times New Roman" w:eastAsia="SimSun" w:hAnsi="Times New Roman"/>
          <w:b/>
          <w:bCs/>
          <w:i w:val="false"/>
          <w:iCs w:val="false"/>
          <w:color w:val="000000"/>
          <w:sz w:val="24"/>
          <w:szCs w:val="24"/>
          <w:rtl w:val="false"/>
        </w:rPr>
        <w:t xml:space="preserve">specification-oracle conformance result</w:t>
      </w:r>
      <w:r>
        <w:rPr>
          <w:rFonts w:ascii="Times New Roman" w:cs="Times New Roman" w:eastAsia="SimSun" w:hAnsi="Times New Roman"/>
          <w:b w:val="false"/>
          <w:bCs w:val="false"/>
          <w:i w:val="false"/>
          <w:iCs w:val="false"/>
          <w:color w:val="000000"/>
          <w:sz w:val="24"/>
          <w:szCs w:val="24"/>
          <w:rtl w:val="false"/>
        </w:rPr>
        <w:t xml:space="preserve">, not a test run against production SCRS code, and the fixture labels are policy-derived by construction. Per the independence requirement of Section 5.2, such results verify agreement between an implementation and its predicate — they are conformance evidence, not end-to-end error rates, and they cannot support any claim of a zero empirical false-transfer rate. Production conformance, domain-extraction accuracy, policy completeness, and bypass resistance remain objects of the validation protocol. The reference model’s role is the modest but load-bearing one: it pins the fail-closed semantics unambiguously, it makes Theorem 3’s assumptions mechanically checkable for any future implementation, and it prevents the silent reintroduction of truthiness-based acceptance paths.</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9. Illustrative Performance Projection</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No claim in this section is a deployment measurement. </w:t>
      </w:r>
      <w:r>
        <w:rPr>
          <w:rFonts w:ascii="Times New Roman" w:cs="Times New Roman" w:eastAsia="SimSun" w:hAnsi="Times New Roman"/>
          <w:b w:val="false"/>
          <w:bCs w:val="false"/>
          <w:i w:val="false"/>
          <w:iCs w:val="false"/>
          <w:color w:val="000000"/>
          <w:sz w:val="24"/>
          <w:szCs w:val="24"/>
          <w:rtl w:val="false"/>
        </w:rPr>
        <w:t xml:space="preserve">This section develops an illustrative projection: it feeds representative workload parameters into the analytical cost model of Section 7.3 to display the structure of the design space across eight configurations. The purpose is falsifiability — the projection makes the architecture's expected behaviour precise enough to be confirmed or refuted by the validation protocol of Section 9.5 — and not empirical validation, which remains future work by construction.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9.1 Workload Model and Assumptions</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The workload represents rule-governed question answering at 300,000 requests per month (10,000 per working day) across three domains (commercial contract and SLA auditing; financial-regulation compliance; technical diagnosis of web architectures), with 15% adversarial cross-domain traps and 10% stale-evidence traps mixed in. Every component assumption is stated so that the released script table2.py regenerates Table 2 mechanically: oracle tariff USD 2.50 / 1M input and USD 10.00 / 1M output tokens (frontier-class assumption, October 2026); provider-side prefix caching billed at a β = 0.10 factor on the stable prefix of anchor calls — the actually achieved cache ratio is a measured quantity in the protocol; dedicated hosting of the local model at USD 1.05/h on one L40S (≈ USD 766 per month, ≈ USD 0.0026 per request); capsule compression ratio ρ = 0.85 within the target range of Section 4.2; effective fast-path probability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0.62 for gated configurations, split as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 0.78 and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 0.205 — a deliberate discount of the nominal hit rate to account for promotion lag and halts; expected anchor interrupts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between 1.4 (compiled trace) and 11.5 (raw context, no trace), where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is </w:t>
      </w:r>
      <w:r>
        <w:rPr>
          <w:rFonts w:ascii="Times New Roman" w:cs="Times New Roman" w:eastAsia="SimSun" w:hAnsi="Times New Roman"/>
          <w:b/>
          <w:bCs/>
          <w:i w:val="false"/>
          <w:iCs w:val="false"/>
          <w:color w:val="000000"/>
          <w:sz w:val="24"/>
          <w:szCs w:val="24"/>
          <w:rtl w:val="false"/>
        </w:rPr>
        <w:t xml:space="preserve">the unconditional per-request mean of accepted interrupts — expected interrupts per issued request, not conditional on fast-path completion</w:t>
      </w:r>
      <w:r>
        <w:rPr>
          <w:rFonts w:ascii="Times New Roman" w:cs="Times New Roman" w:eastAsia="SimSun" w:hAnsi="Times New Roman"/>
          <w:b w:val="false"/>
          <w:bCs w:val="false"/>
          <w:i w:val="false"/>
          <w:iCs w:val="false"/>
          <w:color w:val="000000"/>
          <w:sz w:val="24"/>
          <w:szCs w:val="24"/>
          <w:rtl w:val="false"/>
        </w:rPr>
        <w:t xml:space="preserve"> — and each accepted interrupt is billed exactly k = 5 oracle output tokens, so the anchor output contribution to billed output is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·k; anchor input re-sent per call a</w:t>
      </w:r>
      <w:r>
        <w:rPr>
          <w:rFonts w:ascii="Times New Roman" w:cs="Times New Roman" w:eastAsia="SimSun" w:hAnsi="Times New Roman"/>
          <w:b w:val="false"/>
          <w:bCs w:val="false"/>
          <w:i w:val="false"/>
          <w:iCs w:val="false"/>
          <w:color w:val="000000"/>
          <w:sz w:val="24"/>
          <w:szCs w:val="24"/>
          <w:vertAlign w:val="subscript"/>
          <w:rtl w:val="false"/>
        </w:rPr>
        <w:t xml:space="preserve">in</w:t>
      </w:r>
      <w:r>
        <w:rPr>
          <w:rFonts w:ascii="Times New Roman" w:cs="Times New Roman" w:eastAsia="SimSun" w:hAnsi="Times New Roman"/>
          <w:b w:val="false"/>
          <w:bCs w:val="false"/>
          <w:i w:val="false"/>
          <w:iCs w:val="false"/>
          <w:color w:val="000000"/>
          <w:sz w:val="24"/>
          <w:szCs w:val="24"/>
          <w:rtl w:val="false"/>
        </w:rPr>
        <w:t xml:space="preserve"> ≈ 1,400 tokens with capsule contexts and ≈ 6,900 with raw contexts; and oracle decode at 55 tok/s effective, local decode at 650 tok/s under load, from the vLLM throughput literature [6, 28]. A billing-basis note applies to every row: the Out-tok column counts </w:t>
      </w:r>
      <w:r>
        <w:rPr>
          <w:rFonts w:ascii="Times New Roman" w:cs="Times New Roman" w:eastAsia="SimSun" w:hAnsi="Times New Roman"/>
          <w:b/>
          <w:bCs/>
          <w:i w:val="false"/>
          <w:iCs w:val="false"/>
          <w:color w:val="000000"/>
          <w:sz w:val="24"/>
          <w:szCs w:val="24"/>
          <w:rtl w:val="false"/>
        </w:rPr>
        <w:t xml:space="preserve">oracle-billed output only</w:t>
      </w:r>
      <w:r>
        <w:rPr>
          <w:rFonts w:ascii="Times New Roman" w:cs="Times New Roman" w:eastAsia="SimSun" w:hAnsi="Times New Roman"/>
          <w:b w:val="false"/>
          <w:bCs w:val="false"/>
          <w:i w:val="false"/>
          <w:iCs w:val="false"/>
          <w:color w:val="000000"/>
          <w:sz w:val="24"/>
          <w:szCs w:val="24"/>
          <w:rtl w:val="false"/>
        </w:rPr>
        <w:t xml:space="preserve">; the tokens a configuration renders locally (e.g., a ≈ 894-token rendered answer for row 8, of which 7 are anchor tokens returned by the oracle) are a local-model quantity and are deliberately not folded into the billed output column — conflating the two is precisely the accounting error that produced the irreproducible output-token figures in earlier drafts. Cost includes amortised local-model hosting plus all oracle spend; index-time compilation and KV pre-computation are excluded as one-off per-document costs and are reported separately by the protocol. Every row of Table 2 is derived from Equations (17)–(20) under these assumptions; changing an assumption changes the row mechanically, which is the intended behaviour of a projection.</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9.2 Eight-Configuration Projection</w:t>
      </w:r>
    </w:p>
    <w:p>
      <w:pPr>
        <w:keepNext/>
        <w:spacing w:after="80" w:before="200" w:line="300"/>
        <w:jc w:val="center"/>
      </w:pPr>
      <w:r>
        <w:rPr>
          <w:rFonts w:ascii="Times New Roman" w:cs="Times New Roman" w:eastAsia="SimSun" w:hAnsi="Times New Roman"/>
          <w:b/>
          <w:bCs/>
          <w:i w:val="false"/>
          <w:iCs w:val="false"/>
          <w:color w:val="000000"/>
          <w:sz w:val="21"/>
          <w:szCs w:val="21"/>
          <w:rtl w:val="false"/>
        </w:rPr>
        <w:t xml:space="preserve">Table 2. </w:t>
      </w:r>
      <w:r>
        <w:rPr>
          <w:rFonts w:ascii="Times New Roman" w:cs="Times New Roman" w:eastAsia="SimSun" w:hAnsi="Times New Roman"/>
          <w:b w:val="false"/>
          <w:bCs w:val="false"/>
          <w:i w:val="false"/>
          <w:iCs w:val="false"/>
          <w:color w:val="000000"/>
          <w:sz w:val="21"/>
          <w:szCs w:val="21"/>
          <w:rtl w:val="false"/>
        </w:rPr>
        <w:t xml:space="preserve">Illustrative projection of the corrected analytical cost model across eight configurations (projection, not measurement; see Section 9.1 for assumptions and Section 9.2 note for column definitions).</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285"/>
        <w:gridCol w:w="791"/>
        <w:gridCol w:w="791"/>
        <w:gridCol w:w="703"/>
        <w:gridCol w:w="703"/>
        <w:gridCol w:w="703"/>
        <w:gridCol w:w="703"/>
        <w:gridCol w:w="967"/>
        <w:gridCol w:w="1142"/>
      </w:tblGrid>
      <w:tr>
        <w:trPr>
          <w:cantSplit/>
          <w:tblHeader/>
        </w:trPr>
        <w:tc>
          <w:tcPr>
            <w:tcW w:type="pct" w:w="13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left"/>
            </w:pPr>
            <w:r>
              <w:rPr>
                <w:rFonts w:ascii="Times New Roman" w:cs="Times New Roman" w:eastAsia="SimSun" w:hAnsi="Times New Roman"/>
                <w:b/>
                <w:bCs/>
                <w:i w:val="false"/>
                <w:iCs w:val="false"/>
                <w:color w:val="000000"/>
                <w:sz w:val="15"/>
                <w:szCs w:val="15"/>
                <w:rtl w:val="false"/>
              </w:rPr>
              <w:t xml:space="preserve">Configuration</w:t>
            </w:r>
          </w:p>
        </w:tc>
        <w:tc>
          <w:tcPr>
            <w:tcW w:type="pct" w:w="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In-tok†</w:t>
            </w:r>
          </w:p>
        </w:tc>
        <w:tc>
          <w:tcPr>
            <w:tcW w:type="pct" w:w="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Out-tok†</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α_eff (%)</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TTFT (s)</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P50 (s)</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P95 (s)</w:t>
            </w:r>
          </w:p>
        </w:tc>
        <w:tc>
          <w:tcPr>
            <w:tcW w:type="pct" w:w="5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Cost ($)</w:t>
            </w:r>
          </w:p>
        </w:tc>
        <w:tc>
          <w:tcPr>
            <w:tcW w:type="pct" w:w="6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5"/>
                <w:szCs w:val="15"/>
                <w:rtl w:val="false"/>
              </w:rPr>
              <w:t xml:space="preserve">Δ Cost</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1. Baseline (raw RAG + full oracle)</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6,420</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2,380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1.10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44.4</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62.2</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398.50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2. Tier I only (capsules)</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1,180</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2,310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0.45</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42.5</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59.5</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260.50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−34.6%</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3. Tier II only (hardened JIT, oracle-rendered)</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1,585</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1,188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62</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1.27</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17.7</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43.7</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190.40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−52.2%</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4. Tier III only (entropy interrupt, raw ctx.)</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14,145</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58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100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0.11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18.1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25.3</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384.90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−3.4%</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5. Tier I + III (no JIT)</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4,368</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100</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0.26</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9.2</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12.8</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139.60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−65.0%</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6. Tier I + II (no entropy interrupt)</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1,510</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1,188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62</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1.41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17.9</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43.9</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188.50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−52.7%</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7. SCRS w/o transfer gate (similarity-only)</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840</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369</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78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0.98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43.9</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86.60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−78.3%</w:t>
            </w:r>
          </w:p>
        </w:tc>
      </w:tr>
      <w:tr>
        <w:trPr>
          <w:cantSplit/>
        </w:trPr>
        <w:tc>
          <w:tcPr>
            <w:tcW w:type="pct"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5"/>
                <w:szCs w:val="15"/>
                <w:rtl w:val="false"/>
              </w:rPr>
              <w:t xml:space="preserve">8. Unified SCRS (I + II + III)</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988</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631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62</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0.98</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3.1</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43.9</w:t>
            </w:r>
          </w:p>
        </w:tc>
        <w:tc>
          <w:tcPr>
            <w:tcW w:type="pct" w:w="5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119.80</w:t>
            </w:r>
          </w:p>
        </w:tc>
        <w:tc>
          <w:tcPr>
            <w:tcW w:type="pct" w:w="6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5"/>
                <w:szCs w:val="15"/>
                <w:rtl w:val="false"/>
              </w:rPr>
              <w:t xml:space="preserve">−69.9%</w:t>
            </w:r>
          </w:p>
        </w:tc>
      </w:tr>
    </w:tbl>
    <w:p>
      <w:pPr>
        <w:spacing w:after="200" w:before="60" w:line="280"/>
        <w:jc w:val="both"/>
      </w:pPr>
      <w:r>
        <w:rPr>
          <w:rFonts w:ascii="Times New Roman" w:cs="Times New Roman" w:eastAsia="SimSun" w:hAnsi="Times New Roman"/>
          <w:b w:val="false"/>
          <w:bCs w:val="false"/>
          <w:i w:val="false"/>
          <w:iCs w:val="false"/>
          <w:color w:val="000000"/>
          <w:sz w:val="18"/>
          <w:szCs w:val="18"/>
          <w:rtl w:val="false"/>
        </w:rPr>
        <w:t xml:space="preserve">† In-tok / Out-tok: model-derived mean BILLED oracle input/output tokens per request, including anchor-window input (re-sent prefix, capsules, and trace, at the β = 0.10 cached-input factor) and anchor output tokens — anchor calls are oracle calls and are priced on both sides (Equations (19)–(20)). n_anch is the unconditional per-request mean of accepted interrupts (Section 9.1); locally rendered tokens are excluded from Out-tok by construction. α_eff: projected share of requests served entirely on the fast path. TTFT: projected time to first token, including extraction, retrieval, and where present deterministic execution. Cost: projected USD per 10,000 requests at the Section 9.1 tariff, including amortised local-model hosting and all oracle spend; index-time compilation is a one-off per-document cost and is excluded. Δ Cost: relative to row 1. Every value is an output of the released script table2.py under the assumptions of Section 9.1; no value in this table is a measurement. Quality figures are deliberately not listed here — they are design targets, stated separately in Table 3.</w:t>
      </w:r>
    </w:p>
    <w:p>
      <w:pPr>
        <w:keepNext/>
        <w:spacing w:after="80" w:before="200" w:line="300"/>
        <w:jc w:val="center"/>
      </w:pPr>
      <w:r>
        <w:rPr>
          <w:rFonts w:ascii="Times New Roman" w:cs="Times New Roman" w:eastAsia="SimSun" w:hAnsi="Times New Roman"/>
          <w:b/>
          <w:bCs/>
          <w:i w:val="false"/>
          <w:iCs w:val="false"/>
          <w:color w:val="000000"/>
          <w:sz w:val="21"/>
          <w:szCs w:val="21"/>
          <w:rtl w:val="false"/>
        </w:rPr>
        <w:t xml:space="preserve">Table 3. </w:t>
      </w:r>
      <w:r>
        <w:rPr>
          <w:rFonts w:ascii="Times New Roman" w:cs="Times New Roman" w:eastAsia="SimSun" w:hAnsi="Times New Roman"/>
          <w:b w:val="false"/>
          <w:bCs w:val="false"/>
          <w:i w:val="false"/>
          <w:iCs w:val="false"/>
          <w:color w:val="000000"/>
          <w:sz w:val="21"/>
          <w:szCs w:val="21"/>
          <w:rtl w:val="false"/>
        </w:rPr>
        <w:t xml:space="preserve">Quality design targets for the validation protocol (hypotheses to be measured, not model outputs; see Section 9.5).</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3867"/>
        <w:gridCol w:w="2373"/>
        <w:gridCol w:w="2549"/>
      </w:tblGrid>
      <w:tr>
        <w:trPr>
          <w:cantSplit/>
          <w:tblHeader/>
        </w:trPr>
        <w:tc>
          <w:tcPr>
            <w:tcW w:type="pct" w:w="22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left"/>
            </w:pPr>
            <w:r>
              <w:rPr>
                <w:rFonts w:ascii="Times New Roman" w:cs="Times New Roman" w:eastAsia="SimSun" w:hAnsi="Times New Roman"/>
                <w:b/>
                <w:bCs/>
                <w:i w:val="false"/>
                <w:iCs w:val="false"/>
                <w:color w:val="000000"/>
                <w:sz w:val="18"/>
                <w:szCs w:val="18"/>
                <w:rtl w:val="false"/>
              </w:rPr>
              <w:t xml:space="preserve">Configuration</w:t>
            </w:r>
          </w:p>
        </w:tc>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Accuracy target (%)*</w:t>
            </w:r>
          </w:p>
        </w:tc>
        <w:tc>
          <w:tcPr>
            <w:tcW w:type="pct" w:w="1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False-transfer target†</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1. Baseline (raw RAG + full oracle)</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94.1</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2. Tier I only (capsules)</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96.6</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3. Tier II only (hardened JIT)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95.8</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0 observed (CP-bounded)</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4. Tier III only (entropy interrupt)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92.9</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5. Tier I + III (no JIT)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95.4</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6. Tier I + II (no entropy interrupt)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97.1</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0 observed (CP-bounded)</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7. SCRS w/o transfer gate</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81.4</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14.2% trap-exposure model</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8. Unified SCRS (I + II + III)</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97.2</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0 observed (CP-bounded)</w:t>
            </w:r>
          </w:p>
        </w:tc>
      </w:tr>
    </w:tbl>
    <w:p>
      <w:pPr>
        <w:spacing w:after="200" w:before="60" w:line="280"/>
        <w:jc w:val="both"/>
      </w:pPr>
      <w:r>
        <w:rPr>
          <w:rFonts w:ascii="Times New Roman" w:cs="Times New Roman" w:eastAsia="SimSun" w:hAnsi="Times New Roman"/>
          <w:b w:val="false"/>
          <w:bCs w:val="false"/>
          <w:i w:val="false"/>
          <w:iCs w:val="false"/>
          <w:color w:val="000000"/>
          <w:sz w:val="18"/>
          <w:szCs w:val="18"/>
          <w:rtl w:val="false"/>
        </w:rPr>
        <w:t xml:space="preserve">* Accuracy targets are design hypotheses, stated so that Section 9.5 can confirm or refute them; they are NOT derived from the cost model of Equations (17)–(20), which is why they are separated from Table 2. After measurement, accuracy is reported with 95% confidence intervals. † For gated configurations the design target is zero observed false transfers; under n independent trap queries, zero failures supports a false-transfer probability bounded by the Clopper–Pearson 95% upper bound 1 − 0.05^(1/n) ≈ 3/n (e.g., n = 1,500 → p ≤ 0.0020) — not zero. For configuration 7 the value models the exposure of gate-free admission on the 15% cross-domain trap subset, consistent with documented failure modes of embedding-only semantic caches [11]; the denominator is the trap subset, and the rate is additionally reported per all requests.</w:t>
      </w:r>
    </w:p>
    <w:p>
      <w:pPr>
        <w:keepNext/>
        <w:spacing w:after="60" w:before="160"/>
        <w:jc w:val="center"/>
      </w:pPr>
      <w:r>
        <w:drawing>
          <wp:inline distT="0" distB="0" distL="0" distR="0">
            <wp:extent cx="5524500" cy="20193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19300"/>
                    </a:xfrm>
                    <a:prstGeom prst="rect">
                      <a:avLst/>
                    </a:prstGeom>
                  </pic:spPr>
                </pic:pic>
              </a:graphicData>
            </a:graphic>
          </wp:inline>
        </w:drawing>
      </w:r>
    </w:p>
    <w:p>
      <w:pPr>
        <w:spacing w:after="200" w:before="60" w:line="300"/>
        <w:jc w:val="center"/>
      </w:pPr>
      <w:r>
        <w:rPr>
          <w:rFonts w:ascii="Times New Roman" w:cs="Times New Roman" w:eastAsia="SimSun" w:hAnsi="Times New Roman"/>
          <w:b/>
          <w:bCs/>
          <w:i w:val="false"/>
          <w:iCs w:val="false"/>
          <w:color w:val="000000"/>
          <w:sz w:val="21"/>
          <w:szCs w:val="21"/>
          <w:rtl w:val="false"/>
        </w:rPr>
        <w:t xml:space="preserve">Figure 3. </w:t>
      </w:r>
      <w:r>
        <w:rPr>
          <w:rFonts w:ascii="Times New Roman" w:cs="Times New Roman" w:eastAsia="SimSun" w:hAnsi="Times New Roman"/>
          <w:b w:val="false"/>
          <w:bCs w:val="false"/>
          <w:i w:val="false"/>
          <w:iCs w:val="false"/>
          <w:color w:val="000000"/>
          <w:sz w:val="21"/>
          <w:szCs w:val="21"/>
          <w:rtl w:val="false"/>
        </w:rPr>
        <w:t xml:space="preserve">Projection of (a) serving cost per 10,000 requests and (b) median and 95th-percentile end-to-end latency across the eight configurations of Table 2. All values are outputs of the analytical model under the assumptions of Section 9.1, not measured results.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9.3 Reading the Projection: What Each Tier Contributes</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Tier I alone (row 2) attacks the input term: capsule compression reduces oracle input tokens by roughly 82%, which shortens pre-fill and raises answer quality in the projection because long, noise-bearing contexts are known to dilute attention [23]; the reasoning budget is untouched. Tier III alone (row 4) is the instructive disappointment of the honest accounting: median latency drops sharply and billed oracle output falls to a few dozen tokens, because most rendered positions are low-entropy and never require the oracle [19, 20] — but the same request re-sends its raw ≈ 6,900-token context to the oracle at every one of the expected 11.5 interrupts, so billed input tokens explode to ≈ 14,100 per request and the net cost saving collapses to 3.4%. An interrupt-style scheme priced by output tokens alone would report a large saving here; priced honestly by Equations (19)–(20), Tier III on raw contexts is roughly cost-neutral. This is a structural argument for composing it with Tier I, and the projection quantifies the composition twice: compact capsules shrink the anchor input (row 5 reaches −65.0% at 9.6 interrupts), and a compiled trace removes most free-form decision points, cutting the interrupt load to 1.4 (row 8).</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Tier II is what converts reuse into safety (rows 3, 6, 8). The hardened configuration recovers compiled reasoning rather than re-deriving it, eliminating reasoning tokens entirely on 62% of requests; because the oracle itself renders the verified trace in the Tier II-only ablations (rows 3 and 6), their P50 is dominated by oracle rendering (≈ 17.7–17.9 s) — the decisive latency gain appears only when the small model renders (rows 7 and 8, ≈ 3.1 s). Row 7 is the counterfactual that isolates the gate: with similarity-only admission the projected fast-path share rises to 78% and projected cost falls further (−78.3%, versus −69.9% for the unified system) — the transfer gate therefore has a measurable price of about USD 33 per 10,000 requests — but admission becomes vulnerable to cross-domain contamination on the trap subset, modelled as a 14.2% false-transfer exposure in line with the failure modes reported for embedding-similarity caching [11], with a projected accuracy target of 81.4% versus 97.2% (Table 3). The projection thus refuses the comfortable claim that safety is free: it is priced, and whether that price is worth paying is exactly the empirical question the trap benchmark of Section 9.5 is designed to answer. The P95 column records the honest price of fallback: the unified system falls back on 38% of requests, so its P95 (43.9 s) is dominated by full-oracle traffic and is higher than row 5's (12.8 s), which never falls back because it never reuses patterns.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9.4 Sensitivity of the Projection</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Because the projection is a closed-form model, its sensitivity can be stated exactly. Cost is dominated by the fallback term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)·C</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through Equation (20): halving the fast-path share roughly doubles oracle reasoning spend per request, which is why promotion-lag periods (Section 5.5) dominate early-deployment economics. Two sensitivities that earlier drafts hid are now first-class: cost scales linearly in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·C</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 the interrupt load times its re-sent input — which is why row 4 collapses to cost-neutrality, and linearly in the anchor input length a</w:t>
      </w:r>
      <w:r>
        <w:rPr>
          <w:rFonts w:ascii="Times New Roman" w:cs="Times New Roman" w:eastAsia="SimSun" w:hAnsi="Times New Roman"/>
          <w:b w:val="false"/>
          <w:bCs w:val="false"/>
          <w:i w:val="false"/>
          <w:iCs w:val="false"/>
          <w:color w:val="000000"/>
          <w:sz w:val="24"/>
          <w:szCs w:val="24"/>
          <w:vertAlign w:val="subscript"/>
          <w:rtl w:val="false"/>
        </w:rPr>
        <w:t xml:space="preserve">in</w:t>
      </w:r>
      <w:r>
        <w:rPr>
          <w:rFonts w:ascii="Times New Roman" w:cs="Times New Roman" w:eastAsia="SimSun" w:hAnsi="Times New Roman"/>
          <w:b w:val="false"/>
          <w:bCs w:val="false"/>
          <w:i w:val="false"/>
          <w:iCs w:val="false"/>
          <w:color w:val="000000"/>
          <w:sz w:val="24"/>
          <w:szCs w:val="24"/>
          <w:rtl w:val="false"/>
        </w:rPr>
        <w:t xml:space="preserve">, which is why capsule compression contributes twice: once on the fallback path and once on every anchor call. Latency is dominated by the fallback term for P95 and by rendering plus anchor round-trips for P50; the crossover between rows 5 and 8 in the P95 column occurs exactly where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exceeds the rendering savings. The quality targets of Table 3, by contrast, are not derivable from the cost model at all, which is why they are stated separately and treated by Section 9.5 as the primary objects of measurement.</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9.5 Validation Protocol</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following protocol specifies how the projection and the design targets are to be confirmed or refuted; it is part of the contribution, not an afterthought.</w:t>
      </w:r>
    </w:p>
    <w:p>
      <w:pPr>
        <w:pStyle w:val="ListParagraph"/>
        <w:numPr>
          <w:ilvl w:val="0"/>
          <w:numId w:val="1"/>
        </w:numPr>
        <w:spacing w:after="60" w:line="340"/>
        <w:jc w:val="left"/>
      </w:pPr>
      <w:r>
        <w:rPr>
          <w:rFonts w:ascii="Times New Roman" w:cs="Times New Roman" w:eastAsia="SimSun" w:hAnsi="Times New Roman"/>
          <w:b/>
          <w:bCs/>
          <w:i w:val="false"/>
          <w:iCs w:val="false"/>
          <w:color w:val="000000"/>
          <w:sz w:val="24"/>
          <w:szCs w:val="24"/>
          <w:rtl w:val="false"/>
        </w:rPr>
        <w:t xml:space="preserve">Benchmark. </w:t>
      </w:r>
      <w:r>
        <w:rPr>
          <w:rFonts w:ascii="Times New Roman" w:cs="Times New Roman" w:eastAsia="SimSun" w:hAnsi="Times New Roman"/>
          <w:b w:val="false"/>
          <w:bCs w:val="false"/>
          <w:i w:val="false"/>
          <w:iCs w:val="false"/>
          <w:color w:val="000000"/>
          <w:sz w:val="24"/>
          <w:szCs w:val="24"/>
          <w:rtl w:val="false"/>
        </w:rPr>
        <w:t xml:space="preserve">10,000 multi-step questions over the three pinned domains, of which 15% are cross-domain traps (superficially similar skeletons, incompatible governing rules) and 10% carry stale evidence injected deliberately; golden answers and rule versions are released with version identifiers. Test questions are disjoint from the documents and queries used to compile and shadow-validate the graphs — a held-out split fixed before any run — and repetitions use independent document shuffles to limit memorisation.</w:t>
      </w:r>
    </w:p>
    <w:p>
      <w:pPr>
        <w:pStyle w:val="ListParagraph"/>
        <w:numPr>
          <w:ilvl w:val="0"/>
          <w:numId w:val="1"/>
        </w:numPr>
        <w:spacing w:after="60" w:line="340"/>
        <w:jc w:val="left"/>
      </w:pPr>
      <w:r>
        <w:rPr>
          <w:rFonts w:ascii="Times New Roman" w:cs="Times New Roman" w:eastAsia="SimSun" w:hAnsi="Times New Roman"/>
          <w:b/>
          <w:bCs/>
          <w:i w:val="false"/>
          <w:iCs w:val="false"/>
          <w:color w:val="000000"/>
          <w:sz w:val="24"/>
          <w:szCs w:val="24"/>
          <w:rtl w:val="false"/>
        </w:rPr>
        <w:t xml:space="preserve">Configurations. </w:t>
      </w:r>
      <w:r>
        <w:rPr>
          <w:rFonts w:ascii="Times New Roman" w:cs="Times New Roman" w:eastAsia="SimSun" w:hAnsi="Times New Roman"/>
          <w:b w:val="false"/>
          <w:bCs w:val="false"/>
          <w:i w:val="false"/>
          <w:iCs w:val="false"/>
          <w:color w:val="000000"/>
          <w:sz w:val="24"/>
          <w:szCs w:val="24"/>
          <w:rtl w:val="false"/>
        </w:rPr>
        <w:t xml:space="preserve">The eight rows of Table 2, each running the pinned stack of Table 1 with fixed seeds; at least three repetitions per configuration with independent document shuffles.</w:t>
      </w:r>
    </w:p>
    <w:p>
      <w:pPr>
        <w:pStyle w:val="ListParagraph"/>
        <w:numPr>
          <w:ilvl w:val="0"/>
          <w:numId w:val="1"/>
        </w:numPr>
        <w:spacing w:after="60" w:line="340"/>
        <w:jc w:val="left"/>
      </w:pPr>
      <w:r>
        <w:rPr>
          <w:rFonts w:ascii="Times New Roman" w:cs="Times New Roman" w:eastAsia="SimSun" w:hAnsi="Times New Roman"/>
          <w:b/>
          <w:bCs/>
          <w:i w:val="false"/>
          <w:iCs w:val="false"/>
          <w:color w:val="000000"/>
          <w:sz w:val="24"/>
          <w:szCs w:val="24"/>
          <w:rtl w:val="false"/>
        </w:rPr>
        <w:t xml:space="preserve">Metrics. </w:t>
      </w:r>
      <w:r>
        <w:rPr>
          <w:rFonts w:ascii="Times New Roman" w:cs="Times New Roman" w:eastAsia="SimSun" w:hAnsi="Times New Roman"/>
          <w:b w:val="false"/>
          <w:bCs w:val="false"/>
          <w:i w:val="false"/>
          <w:iCs w:val="false"/>
          <w:color w:val="000000"/>
          <w:sz w:val="24"/>
          <w:szCs w:val="24"/>
          <w:rtl w:val="false"/>
        </w:rPr>
        <w:t xml:space="preserve">Multi-step correctness graded against golden answers by three domain experts using a released rubric, with an LLM judge pre-validated on 200 human-labelled items (agreement κ ≥ 0.70 required before use) and expert arbitration of all disagreements. False-transfer rate with two denominators reported separately: per trap-query subset (primary) and per all requests. </w:t>
      </w:r>
      <w:r>
        <w:rPr>
          <w:rFonts w:ascii="Times New Roman" w:cs="Times New Roman" w:eastAsia="SimSun" w:hAnsi="Times New Roman"/>
          <w:b/>
          <w:bCs/>
          <w:i w:val="false"/>
          <w:iCs w:val="false"/>
          <w:color w:val="000000"/>
          <w:sz w:val="24"/>
          <w:szCs w:val="24"/>
          <w:rtl w:val="false"/>
        </w:rPr>
        <w:t xml:space="preserve">Ground-truth incompatibility labels come from an authoritative domain oracle independent of the gate's own policy — human-adjudicated cases and externally curated fixtures — and upstream extraction errors are reported separately from gate-conformance outcomes, so a policy-derived pass rate can never masquerade as an empirical error rate</w:t>
      </w:r>
      <w:r>
        <w:rPr>
          <w:rFonts w:ascii="Times New Roman" w:cs="Times New Roman" w:eastAsia="SimSun" w:hAnsi="Times New Roman"/>
          <w:b w:val="false"/>
          <w:bCs w:val="false"/>
          <w:i w:val="false"/>
          <w:iCs w:val="false"/>
          <w:color w:val="000000"/>
          <w:sz w:val="24"/>
          <w:szCs w:val="24"/>
          <w:rtl w:val="false"/>
        </w:rPr>
        <w:t xml:space="preserve">; policy-derived fixture runs are labelled conformance results (Section 8.5). Token counts per component from the telemetry schema, including billed anchor input/output tokens and the achieved prefix-cache ratio. TTFT and P50/P95 latency. The answer-quality delta of capsule fusion versus a no-fusion baseline (Section 4.3). Total cost from honest accounting including guard overheads and anchor input.</w:t>
      </w:r>
    </w:p>
    <w:p>
      <w:pPr>
        <w:pStyle w:val="ListParagraph"/>
        <w:numPr>
          <w:ilvl w:val="0"/>
          <w:numId w:val="1"/>
        </w:numPr>
        <w:spacing w:after="60" w:line="340"/>
        <w:jc w:val="left"/>
      </w:pPr>
      <w:r>
        <w:rPr>
          <w:rFonts w:ascii="Times New Roman" w:cs="Times New Roman" w:eastAsia="SimSun" w:hAnsi="Times New Roman"/>
          <w:b/>
          <w:bCs/>
          <w:i w:val="false"/>
          <w:iCs w:val="false"/>
          <w:color w:val="000000"/>
          <w:sz w:val="24"/>
          <w:szCs w:val="24"/>
          <w:rtl w:val="false"/>
        </w:rPr>
        <w:t xml:space="preserve">Statistical procedure. </w:t>
      </w:r>
      <w:r>
        <w:rPr>
          <w:rFonts w:ascii="Times New Roman" w:cs="Times New Roman" w:eastAsia="SimSun" w:hAnsi="Times New Roman"/>
          <w:b w:val="false"/>
          <w:bCs w:val="false"/>
          <w:i w:val="false"/>
          <w:iCs w:val="false"/>
          <w:color w:val="000000"/>
          <w:sz w:val="24"/>
          <w:szCs w:val="24"/>
          <w:rtl w:val="false"/>
        </w:rPr>
        <w:t xml:space="preserve">Paired comparisons against the baseline with bootstrap confidence intervals for cost and latency and Wilson intervals for accuracy. The zero-false-transfer design target is evaluated as follows: if zero cross-domain transfers are observed across n independent trap queries in a gated configuration, the reported claim is the Clopper–Pearson 95% upper bound 1 − 0.05^(1/n) ≈ 3/n (e.g., n = 1,500 gives p ≤ 0.0020) — never ‘zero probability’; the independence of test items and the joint distribution of retrieval success and halt are also reported. Cost-reduction claims are accepted if within 10% of the projection. Pre-registered acceptance thresholds: if the protocol refutes a projection row, the cost model — not the headline — is amended, and the amended model becomes the citation of record.</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We deliberately publish falsifiable thresholds instead of narrative expectations: projections and targets are separated (Tables 2 and 3), every projected number is regenerable from table2.py, and the protocol states in advance which observation would falsify which claim.</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10. Limitations and Threats to Validity</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10.1 Scope of Applicability</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Open-ended and creative tasks. </w:t>
      </w:r>
      <w:r>
        <w:rPr>
          <w:rFonts w:ascii="Times New Roman" w:cs="Times New Roman" w:eastAsia="SimSun" w:hAnsi="Times New Roman"/>
          <w:b w:val="false"/>
          <w:bCs w:val="false"/>
          <w:i w:val="false"/>
          <w:iCs w:val="false"/>
          <w:color w:val="000000"/>
          <w:sz w:val="24"/>
          <w:szCs w:val="24"/>
          <w:rtl w:val="false"/>
        </w:rPr>
        <w:t xml:space="preserve">Tier II presumes that the reasoning of a domain can be compiled into typed decision graphs. For genuinely open-ended tasks — open brainstorming, literary writing, research exploration — the pattern space is not repetitive, the hit rate approaches zero, and the architecture reduces to Tier I plus Tier III over the fallback path. The projection of Section 9 is scoped to rule-governed workloads, and applying it elsewhere would be a misreading of the model.</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Cold start and promotion lag. </w:t>
      </w:r>
      <w:r>
        <w:rPr>
          <w:rFonts w:ascii="Times New Roman" w:cs="Times New Roman" w:eastAsia="SimSun" w:hAnsi="Times New Roman"/>
          <w:b w:val="false"/>
          <w:bCs w:val="false"/>
          <w:i w:val="false"/>
          <w:iCs w:val="false"/>
          <w:color w:val="000000"/>
          <w:sz w:val="24"/>
          <w:szCs w:val="24"/>
          <w:rtl w:val="false"/>
        </w:rPr>
        <w:t xml:space="preserve">Because newly compiled patterns enter as EXPERIMENTAL and require M agreeing shadow runs (or expert sign-off) before promotion, a freshly deployed domain serves most traffic through the fallback path. Early-deployment economics are therefore governed by the (1 − α_eff) terms of Equations (17)–(18), and operators should budget accordingly rather than expect row-8 behaviour on day one.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Axiom drift. </w:t>
      </w:r>
      <w:r>
        <w:rPr>
          <w:rFonts w:ascii="Times New Roman" w:cs="Times New Roman" w:eastAsia="SimSun" w:hAnsi="Times New Roman"/>
          <w:b w:val="false"/>
          <w:bCs w:val="false"/>
          <w:i w:val="false"/>
          <w:iCs w:val="false"/>
          <w:color w:val="000000"/>
          <w:sz w:val="24"/>
          <w:szCs w:val="24"/>
          <w:rtl w:val="false"/>
        </w:rPr>
        <w:t xml:space="preserve">When governing rules change — a new tax circular, a revised rating algorithm — every pattern bound to the old axiom version must be demoted automatically. SCRS attaches the axiom hash to the pattern identity and joins it to the Tier I document-versioning system, but the correctness of invalidation is only as good as the upstream change detection: a missed regulatory amendment is outside the formal guarantees of Section 7 and constitutes a real operational risk.</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10.2 Technical Caveats</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KV-state coupling. </w:t>
      </w:r>
      <w:r>
        <w:rPr>
          <w:rFonts w:ascii="Times New Roman" w:cs="Times New Roman" w:eastAsia="SimSun" w:hAnsi="Times New Roman"/>
          <w:b w:val="false"/>
          <w:bCs w:val="false"/>
          <w:i w:val="false"/>
          <w:iCs w:val="false"/>
          <w:color w:val="000000"/>
          <w:sz w:val="24"/>
          <w:szCs w:val="24"/>
          <w:rtl w:val="false"/>
        </w:rPr>
        <w:t xml:space="preserve">Position-decoupled KV states are checkpoint-specific and must be invalidated on model upgrades; capsule fusion via selective cross-attention re-computation (Section 4.3) is a reduction, not an elimination — the rotation and the recomputed-token budget r remain real load-time costs, and fusion can subtly change answer content. The latency model prices both residuals inside T_ret, and the validation protocol measures both the latency delta and the answer-quality delta of fusion against a no-fusion baseline (Section 9.5), in addition to comparing against standard prefix caching, Prompt Cache [8], and CacheBlend [9].</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Threshold sensitivity. </w:t>
      </w:r>
      <w:r>
        <w:rPr>
          <w:rFonts w:ascii="Times New Roman" w:cs="Times New Roman" w:eastAsia="SimSun" w:hAnsi="Times New Roman"/>
          <w:b w:val="false"/>
          <w:bCs w:val="false"/>
          <w:i w:val="false"/>
          <w:iCs w:val="false"/>
          <w:color w:val="000000"/>
          <w:sz w:val="24"/>
          <w:szCs w:val="24"/>
          <w:rtl w:val="false"/>
        </w:rPr>
        <w:t xml:space="preserve">The interrupt thresholds τ_H, τ_Δ and the anchor length k were fixed for determinism, not because they are optimal. Entropy statistics depend on the tokenizer and the Top-K window; transferring the pinned values to another small model without re-calibration is unsafe. The calibration procedure (sweep over τ_H × τ_Δ on held-out branch points) is specified in the reproducibility protocol but its outcomes are workload-dependent.</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Oracle dependence. </w:t>
      </w:r>
      <w:r>
        <w:rPr>
          <w:rFonts w:ascii="Times New Roman" w:cs="Times New Roman" w:eastAsia="SimSun" w:hAnsi="Times New Roman"/>
          <w:b w:val="false"/>
          <w:bCs w:val="false"/>
          <w:i w:val="false"/>
          <w:iCs w:val="false"/>
          <w:color w:val="000000"/>
          <w:sz w:val="24"/>
          <w:szCs w:val="24"/>
          <w:rtl w:val="false"/>
        </w:rPr>
        <w:t xml:space="preserve">Anchor quality is inherited from the oracle: a normatively ambiguous anchor could pass the entropy check while resolving the branch incorrectly. Proposition 1 makes this explicit — its assumption is about information, not correctness. The verification mode of Section 6.3 and the trap benchmark are the designed counterweights, but a residual risk remains on the fast path that lossless speculative decoding does not carry.</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Security. </w:t>
      </w:r>
      <w:r>
        <w:rPr>
          <w:rFonts w:ascii="Times New Roman" w:cs="Times New Roman" w:eastAsia="SimSun" w:hAnsi="Times New Roman"/>
          <w:b w:val="false"/>
          <w:bCs w:val="false"/>
          <w:i w:val="false"/>
          <w:iCs w:val="false"/>
          <w:color w:val="000000"/>
          <w:sz w:val="24"/>
          <w:szCs w:val="24"/>
          <w:rtl w:val="false"/>
        </w:rPr>
        <w:t xml:space="preserve">Compiling documents into capsules moves the trust boundary: a poisoned source document becomes a poisoned capsule, and capsule poisoning is more persistent than prompt-level injection because capsules are reused across requests. Mitigations in the reference design (source-type whitelisting in Φ_ev, provenance fields, confidence minima, shadow validation) reduce but do not eliminate this exposure; a dedicated adversarial evaluation of capsule poisoning is required before deployment in adversarial environments, and we flag it as an open problem rather than a solved one.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Threats to validity of the projection. </w:t>
      </w:r>
      <w:r>
        <w:rPr>
          <w:rFonts w:ascii="Times New Roman" w:cs="Times New Roman" w:eastAsia="SimSun" w:hAnsi="Times New Roman"/>
          <w:b w:val="false"/>
          <w:bCs w:val="false"/>
          <w:i w:val="false"/>
          <w:iCs w:val="false"/>
          <w:color w:val="000000"/>
          <w:sz w:val="24"/>
          <w:szCs w:val="24"/>
          <w:rtl w:val="false"/>
        </w:rPr>
        <w:t xml:space="preserve">All Section 9 numbers derive from assumptions stated in Section 9.1; none is a measurement. The most consequential assumptions are the effective hit-rate split (p_hit = 0.78, p_halt = 0.205), the anchor-call intensities and their re-sent input lengths (n_anch, a_in) — which Section 9.3 shows can flip the sign of a tier's saving — and the trap-exposure model of configuration 7; all are exposed as first-class parameters of the released script table2.py rather than hidden in prose.</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11. Conclusion</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This paper argued that the apparent dichotomy between the reasoning quality of large models and the speed and cost of small ones is, for rule-governed workloads, largely an artefact of interpret-at-run-time serving. SCRS replaces that regime with a compile–execute–render pipeline: documents are compiled at index time into typed propositional capsules with position-decoupled KV states; recurring reasoning structures are compiled into hardened decision graphs that are retrieved, gated, and executed deterministically; and rendering is delegated to a local small model that escalates to the oracle only at measured entropy spikes, where a few anchor tokens collapse the residual uncertainty. Within this pipeline, halting and determinism are theorems rather than aspirations, the fallback regime is priced by an honest cost model that also charges every anchor call its re-sent input tokens and latency, and cross-domain transfer of reasoning patterns is opposed by two structural safeguards — identity hashing and a hard compatibility gate — whose residual risk is bounded statistically by the published validation protocol rather than assumed away.</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paper is equally explicit about what remains open. The quantitative projections are model outputs awaiting the published validation protocol; quality effects of compression and anchor injection are hypotheses with falsifiable thresholds; the security analysis of capsule poisoning is incomplete; and the honest accounting of Section 9 shows that interrupt-style escalation is cost-effective only when the context it re-sends is compact — a constraint that shapes the architecture rather than flattering it. The intended contribution is therefore twofold: a concrete, formally grounded serving architecture whose guarantees, projections, and design targets can be stated separately and audited independently, and a methodological template for reporting serving research — projections labelled as projections, targets labelled as targets, fallbacks and anchor calls priced, and validation protocols published alongside the claims they are meant to test. We believe this template is applicable beyond SCRS, wherever learned and symbolic components are composed under deployment constraints.</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Declarations</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Author contributions. </w:t>
      </w:r>
      <w:r>
        <w:rPr>
          <w:rFonts w:ascii="Times New Roman" w:cs="Times New Roman" w:eastAsia="SimSun" w:hAnsi="Times New Roman"/>
          <w:b w:val="false"/>
          <w:bCs w:val="false"/>
          <w:i w:val="false"/>
          <w:iCs w:val="false"/>
          <w:color w:val="000000"/>
          <w:sz w:val="24"/>
          <w:szCs w:val="24"/>
          <w:rtl w:val="false"/>
        </w:rPr>
        <w:t xml:space="preserve">Mohammad Reza Bagheri K. is the sole author and contributed to all components of this work: conceptualisation, methodology, architecture, formal analysis, software (reference implementation), validation design, writing (original draft and revision), and visualisation (CRediT roles: Conceptualization; Methodology; Software; Formal analysis; Investigation; Data curation; Writing — original draft; Writing — review &amp; editing; Visualization).</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Conflict of interest. </w:t>
      </w:r>
      <w:r>
        <w:rPr>
          <w:rFonts w:ascii="Times New Roman" w:cs="Times New Roman" w:eastAsia="SimSun" w:hAnsi="Times New Roman"/>
          <w:b w:val="false"/>
          <w:bCs w:val="false"/>
          <w:i w:val="false"/>
          <w:iCs w:val="false"/>
          <w:color w:val="000000"/>
          <w:sz w:val="24"/>
          <w:szCs w:val="24"/>
          <w:rtl w:val="false"/>
        </w:rPr>
        <w:t xml:space="preserve">The author declares a commercial interest in the deployment context: SCRS is being developed as the serving infrastructure for Oxenn, a multi-tenant SEO/AEO/GEO SaaS platform operated by the author. No measurement from that deployment is used in this paper (Section 1.3), and no other competing financial or personal interests exist.</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Data availability. </w:t>
      </w:r>
      <w:r>
        <w:rPr>
          <w:rFonts w:ascii="Times New Roman" w:cs="Times New Roman" w:eastAsia="SimSun" w:hAnsi="Times New Roman"/>
          <w:b w:val="false"/>
          <w:bCs w:val="false"/>
          <w:i w:val="false"/>
          <w:iCs w:val="false"/>
          <w:color w:val="000000"/>
          <w:sz w:val="24"/>
          <w:szCs w:val="24"/>
          <w:rtl w:val="false"/>
        </w:rPr>
        <w:t xml:space="preserve">A public research repository accompanies this paper at https://github.com/DiabloNova/Symbolically-Compiled-Reasoning-Serving. It contains: the executable reference model of the transfer gate with its 26-test conformance suite and machine-readable fixture manifest (Section 8.5); the telemetry schema (request-level and event-level templates, schema version 2) implementing the counter contract of Section 8.3; the projection script table2.py, which regenerates Table 2 and Figure 3 mechanically from the stated assumptions of Section 9.1; the synthetic latency scenario with its manifest; the figure-generation scripts; and the research-validation ledger mapping every claim to its evidence class. The benchmark design (question templates, golden-answer format, trap construction rules, rule-version metadata) accompanies the paper as supplementary material; the full benchmark corpus will be deposited in the same repository upon acceptance.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Code availability. </w:t>
      </w:r>
      <w:r>
        <w:rPr>
          <w:rFonts w:ascii="Times New Roman" w:cs="Times New Roman" w:eastAsia="SimSun" w:hAnsi="Times New Roman"/>
          <w:b w:val="false"/>
          <w:bCs w:val="false"/>
          <w:i w:val="false"/>
          <w:iCs w:val="false"/>
          <w:color w:val="000000"/>
          <w:sz w:val="24"/>
          <w:szCs w:val="24"/>
          <w:rtl w:val="false"/>
        </w:rPr>
        <w:t xml:space="preserve">The gate conformance reference model, the fixture manifest, the telemetry templates, and the projection/figure scripts are available immediately in the repository above, so that every table and figure in this paper can be regenerated before review. The full reference implementation of Algorithm 1 (TypeScript, pinned stack of Table 1) will be released under an open-source licence upon acceptance.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Funding. </w:t>
      </w:r>
      <w:r>
        <w:rPr>
          <w:rFonts w:ascii="Times New Roman" w:cs="Times New Roman" w:eastAsia="SimSun" w:hAnsi="Times New Roman"/>
          <w:b w:val="false"/>
          <w:bCs w:val="false"/>
          <w:i w:val="false"/>
          <w:iCs w:val="false"/>
          <w:color w:val="000000"/>
          <w:sz w:val="24"/>
          <w:szCs w:val="24"/>
          <w:rtl w:val="false"/>
        </w:rPr>
        <w:t xml:space="preserve">This research received no external funding.</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References</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 Vaswani, A., Shazeer, N., Parmar, N., Uszkoreit, J., Jones, L., Gomez, A. N., Kaiser, L., and Polosukhin, I. Attention is all you need. Advances in Neural Information Processing Systems (NeurIPS) 30, 2017. arXiv:1706.03762.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 Su, J., Ahmed, M., Lu, Y., Pan, S., Bo, W., and Liu, Y. RoFormer: Enhanced transformer with rotary position embedding. Neurocomputing 568:127063, 2024. arXiv:2104.09864.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 Lewis, P., Perez, E., Piktus, A., Petroni, F., Karpukhin, V., Goyal, N., Küttler, H., Lewis, M., Yih, W., Rocktäschel, T., Riedel, S., and Kiela, D. Retrieval-augmented generation for knowledge-intensive NLP tasks. Advances in Neural Information Processing Systems (NeurIPS) 33, 2020. arXiv:2005.11401.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 Wei, J., Wang, X., Schuurmans, D., Bosma, M., Ichter, B., Xia, F., Chi, E., Le, Q. V., and Zhou, D. Chain-of-thought prompting elicits reasoning in large language models. Advances in Neural Information Processing Systems (NeurIPS) 35, 2022. arXiv:2201.11903.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[5] Guo, D., Yang, D., Zhang, H., Song, J., Zhang, R., Xu, R., Zhu, Q., Ma, S., Wang, P., Bi, X., et al. DeepSeek-R1: Incentivizing reasoning capability in LLMs via reinforcement learning. arXiv:2501.12948, 2025.</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[6] Kwon, W., Li, Z., Zhuang, S., Sheng, Y., Zheng, L., Yu, C. H., Gonzalez, J. E., Zhang, H., and Stoica, I. Efficient memory management for large language model serving with PagedAttention. In Proceedings of the 29th Symposium on Operating Systems Principles (SOSP), 2023. arXiv:2309.06180.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[7] Zheng, L., Yin, L., Xie, Z., Sun, C., Yu, J., Li, S., Liu, Y., Hao, Y., Chen, Y., Wang, J., Li, X., Lin, J., Zhong, Y., Hou, W., Wang, N., Wang, X., Cui, S., Li, S., Zhou, Y., Li, R., Chen, K., Li, Z., and Lin, Z. SGLang: Efficient execution of structured language model programs. Advances in Neural Information Processing Systems (NeurIPS) 37, 2024. arXiv:2312.07104.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[8] Gim, I., Chen, G., Lee, S., Sarda, N., Khandelwal, A., and Zhong, L. Prompt cache: Modular attention reuse for low-latency inference. In Proceedings of Machine Learning and Systems (MLSys) 6, 2024. arXiv:2311.04934.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[9] Yao, J., Li, H., Liu, Y., Ray, S., Cheng, Y., Zhang, Q., Du, K., Lu, S., and Jiang, J. CacheBlend: Fast large language model serving for RAG with cached knowledge fusion. In Proceedings of the 20th European Conference on Computer Systems (EuroSys), 2025. arXiv:2405.16444.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[10] Liu, Y., Li, H., Cheng, Y., Ray, S., Huang, Y., Zhang, Q., Du, K., Yao, J., Lu, S., Ananthanarayanan, G., Maire, M., Hoffmann, H., Holtzman, A., and Jiang, J. CacheGen: KV cache compression and streaming for fast large language model serving. In Proceedings of the ACM SIGCOMM Conference, 2024. arXiv:2310.07240.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[11] Bang, F. GPTCache: An open-source semantic cache for LLM applications enabling faster answers and reduced costs. In Proceedings of the 3rd Workshop for Natural Language Processing Open Source Software (NLP-OSS) at EMNLP, 2023. arXiv:2311.04936.</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[12] Leviathan, Y., Kalman, M., and Matias, Y. Fast inference from transformers via speculative decoding. In Proceedings of the 40th International Conference on Machine Learning (ICML), 2023. arXiv:2211.17192.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[13] Chen, C., Borgeaud, S., Irving, G., Lespiau, J., Sifre, L., and Jumper, J. Accelerating large language model decoding with speculative sampling. arXiv:2302.01318,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[14] Kim, S., Mangalam, J., Moon, S., Malik, J., Mahoney, M. W., Gholami, A., and Keutzer, K. Big Little Decoder: Accelerating generative large language model inference. Advances in Neural Information Processing Systems (NeurIPS) 36, 2023. arXiv:2302.07863.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[15] Cai, T., Li, Y., Geng, Z., Hong, H., Chen, J., Chang, E., Wu, P., Wang, J., Dao, T., and Ré, C. Medusa: Simple LLM inference acceleration framework with multiple decoding heads. In Proceedings of the 41st International Conference on Machine Learning (ICML), 2024. arXiv:2401.10774.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[16] Li, Y., Wei, F., Zhang, C., and Zhang, H. EAGLE: Speculative sampling requires rethinking feature uncertainty. In Proceedings of the 41st International Conference on Machine Learning (ICML), 2024. arXiv:2401.15077.</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[17] Elhoushi, M., Shrivastava, A., Liskovich, D., Hosmer, B., Wurmstein, H., Lacoste, A., Lebret, X., Wojczuk, R., Ahrabian, R., and Kadra, A. LayerSkip: Enabling early-exit inference and self-speculative decoding. In Proceedings of the 62nd Annual Meeting of the Association for Computational Linguistics (ACL), 2024. arXiv:2404.16710.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[18] Huang, K., Guo, X., and Wang, M. SpecDec++: Boosting speculative decoding via adaptive candidate lengths. arXiv:2405.19715,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[19] Braverman, M., Chen, X., Kakade, S., Narasimhan, K., Zhang, R., and Zhang, Y. Calibration, entropy rates, and memory in language models. In Proceedings of the 37th International Conference on Machine Learning (ICML), 2020. arXiv:1906.05664.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[20] Holtzman, A., Buys, J., Du, L., Forbes, M., and Choi, Y. The curious case of neural text degeneration. In International Conference on Learning Representations (ICLR), 2020. arXiv:1904.09751.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[21] Jiang, H., Wu, Q., Lin, C.-Y., Yang, Y., and Qiu, L. LLMLingua: Compressing prompts for accelerated inference of large language models. In Proceedings of the 2023 Conference on Empirical Methods in Natural Language Processing (EMNLP), 2023. arXiv:2310.05736.</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[22] Jiang, H., Wu, Q., Luo, X., Li, D., Lin, C.-Y., Yang, Y., and Qiu, L. LongLLMLingua: Accelerating and enhancing LLMs in long context scenarios via prompt compression. In Proceedings of the 62nd Annual Meeting of the Association for Computational Linguistics (ACL), 2024. arXiv:2310.06839.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[23] Liu, N. F., Lin, K., Hewitt, J., Paranjape, A., Bevilacqua, M., Petroni, F., and Liang, P. Lost in the middle: How language models use long contexts. Transactions of the Association for Computational Linguistics 12:157–173, 2024. arXiv:2307.03172.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[24] Chen, L., Zaharia, M., and Zou, J. FrugalGPT: How to use large language models while reducing cost and improving performance. arXiv:2305.05176,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[25] Ong, I., Almahairi, A., Wu, V., Chiang, W.-L., Wu, T., Gonzalez, J. E., Kadous, M. W., and Stoica, I. RouteLLM: Learning to route LLMs with preference data. arXiv:2406.18665,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[26] Malkov, Y. A., and Yashunin, D. A. Efficient and robust approximate nearest neighbor search using hierarchical navigable small world graphs. IEEE Transactions on Pattern Analysis and Machine Intelligence 42(4):824–836, 2018. arXiv:1603.09320.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[27] Willard, B. T., and Louf, R. Efficient guided generation for large language models. arXiv:2308.08728,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[28] Yang, A., Yang, B., Zhang, B., Hui, B., Zheng, B., Yu, B., Li, C., Liu, D., Huang, F., Wei, H., et al. Qwen2.5 technical report. arXiv:2412.15115,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[29] Yao, S., Zhao, J., Yu, D., Du, N., Shafran, I., Narasimhan, K., and Cao, Y. ReAct: Synergizing reasoning and acting in language models. In International Conference on Learning Representations (ICLR), 2023. arXiv:2210.03629.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[30] Asai, A., Wu, Z., Wang, Y., Sil, A., and Hajishirzi, H. Self-RAG: Learning to retrieve, generate, and critique through self-reflection. In International Conference on Learning Representations (ICLR), 2024. arXiv:2310.11511.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[31] Li, Y., Wei, F., Zhang, C., and Zhang, H. EAGLE-2: Faster inference of language models with dynamic draft trees. In Proceedings of the 2024 Conference on Empirical Methods in Natural Language Processing (EMNLP), 2024. arXiv:2406.16858.</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[32] Li, Y., Wei, F., Zhang, C., and Zhang, H. EAGLE-3: Scaling up inference acceleration of large language models via training-time test. arXiv:2503.01840, 2025.</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[33] Snell, C., Lee, J., Xu, K., and Kumar, A. Scaling LLM test-time compute optimally can be more effective than scaling model parameters. arXiv:2408.03314,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[34] Zhong, Y., Liu, S., Chen, J., Hu, J., Zhu, Y., Liu, X., Jin, X., and Zhang, H. DistServe: Disaggregating prefill and decoding for goodput-optimized large language model serving. In 18th USENIX Symposium on Operating Systems Design and Implementation (OSDI), 2024. arXiv:2401.09670.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[35] Agrawal, A., Kedia, N., Panwar, A., Mohan, J., Kwatra, N., Gulavani, B. S., Tumanov, A., and Ramjee, R. Taming throughput-latency tradeoff in LLM inference with Sarathi-Serve. In 18th USENIX Symposium on Operating Systems Design and Implementation (OSDI), 2024. arXiv:2403.02310.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[36] Qin, R., Li, Z., He, W., Zhang, M., Wu, Y., Zheng, W., and Xu, X. Mooncake: A KVCache-centric disaggregated architecture for LLM serving. In 23rd USENIX Conference on File and Storage Technologies (FAST), 2025. arXiv:2407.00079.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[37] Srivatsa, V., He, Z., Abhyankar, R., Li, D., and Zhang, Y. Preble: Efficient distributed prompt scheduling for LLM serving. arXiv:2407.00023,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[38] Li, Y., Huang, Y., Yang, B., Venkitesh, B., Locatelli, A., Ye, H., Cai, T., Lewis, P., and Chen, D. SnapKV: LLM knows what you are looking for before generation. Advances in Neural Information Processing Systems (NeurIPS) 37, 2024. arXiv:2404.14469.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[39] DeepSeek-AI. DeepSeek-V2: A strong, economical, and efficient mixture-of-experts language model. arXiv:2405.04434,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[40] Jin, C., Zhang, Z., Jiang, X., Liu, F., Liu, X., Liu, X., and Jin, X. RAGCache: Efficient knowledge caching for retrieval-augmented generation. arXiv:2404.12457,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[41] Lu, S., Wang, H., Rong, Y., Chen, Z., and Tang, Y. TurboRAG: Accelerating retrieval-augmented generation with precomputed KV caches for chunked text. arXiv:2410.07590,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[42] Pan, Z., Wu, Q., Jiang, H., Xia, M., Luo, X., Zhang, J., Lin, Q., Rühle, V., Yang, Y., Zhang, C.-Y., Qiu, L., Zhang, H., and Zhang, D. LLMLingua-2: Data distillation for efficient and task-specific prompt compression. In Findings of the Association for Computational Linguistics: ACL 2024, 2024. arXiv:2403.12968.</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[43] Khattab, O., Singhvi, A., Maheshwari, P., Zhang, Z., Santhanam, K., Vardhamanan, S. A., et al. DSPy: Compiling declarative language model calls into state-of-the-art pipelines. In International Conference on Learning Representations (ICLR), 2024. arXiv:2310.03714.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[44] Beurer-Kellner, L., Fischer, M., and Vechev, M. Prompting is programming: A query language for large language models. In Proceedings of the 45th ACM SIGPLAN International Conference on Programming Language Design and Implementation (PLDI), 2024. arXiv:2212.06094.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[45] d'Avila Garcez, A., and Lamb, L. C. Neurosymbolic AI: The 3rd wave. Artificial Intelligence Review 56:12387–12406, 2023. arXiv:2303.08317.</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[46] Pan, L., Albalak, A., Wang, X., and Wang, W. Y. Logic-LM: Empowering large language models with symbolic solvers for faithful logical reasoning. In Findings of the Association for Computational Linguistics: EMNLP 2023, 2023. arXiv:2305.12241.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[47] Yang, L., Yu, Z., Zhang, T., Cao, S., Xu, M., Zhang, W., Gonzalez, J. E., and Cui, B. Buffer of thoughts: Thought-augmented reasoning with large language models. Advances in Neural Information Processing Systems (NeurIPS) 37, 2024. arXiv:2406.04271.</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Appendix A. Proofs</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A.1 Proof of Theorem 1</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Claim. </w:t>
      </w:r>
      <w:r>
        <w:rPr>
          <w:rFonts w:ascii="Times New Roman" w:cs="Times New Roman" w:eastAsia="SimSun" w:hAnsi="Times New Roman"/>
          <w:b w:val="false"/>
          <w:bCs w:val="false"/>
          <w:i w:val="false"/>
          <w:iCs w:val="false"/>
          <w:color w:val="000000"/>
          <w:sz w:val="24"/>
          <w:szCs w:val="24"/>
          <w:rtl w:val="false"/>
        </w:rPr>
        <w:t xml:space="preserve">If G has passed static validation, the runtime (i) halts in at most |V| predicate evaluations for any admissible input (S_q, E_rag), and (ii) Var(T_exec | S_q, E_rag) = 0, i.e., the trace is a deterministic function of the input.</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Proof. </w:t>
      </w:r>
      <w:r>
        <w:rPr>
          <w:rFonts w:ascii="Times New Roman" w:cs="Times New Roman" w:eastAsia="SimSun" w:hAnsi="Times New Roman"/>
          <w:b w:val="false"/>
          <w:bCs w:val="false"/>
          <w:i w:val="false"/>
          <w:iCs w:val="false"/>
          <w:color w:val="000000"/>
          <w:sz w:val="24"/>
          <w:szCs w:val="24"/>
          <w:rtl w:val="false"/>
        </w:rPr>
        <w:t xml:space="preserve">Static validation establishes three preconditions. First, the three-colour DFS from the root found no back-edge, so (V, E) is a finite DAG; combined with the depth bound d(G) ≤ D_max = 16, every root-to-leaf path has length at most D_max. Second, every non-terminal node has well-typed outgoing edges for both truth values of its predicate, so the walk can never encounter a node it cannot leave. Third, every predicate ψ_i belongs to the guarded, non-recursive language L_pred, whose semantics is total on well-typed, well-bound inputs: comparisons, bounded arithmetic, and set membership over declared enumerated types are defined for every value combination admissible under the symbol table, and none of them performs I/O, sampling, or global mutation.</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 Halting. Consider the node-depth process d_0, d_1, … along the execution walk. Because the graph is acyclic, every taken edge strictly increases node depth; hence d_0 &lt; d_1 &lt; … and, since depths are bounded by D_max, the walk reaches a terminal node — or raises a typed halt — after at most D_max ≤ |V| steps. At each node the predicate evaluation itself terminates because L_pred is total and non-recursive. Thus the loop terminates in at most |V| predicate evaluations.</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(ii) Uniqueness. Fix (S_q, E_rag). We show by induction over execution steps that the configuration (current node, remaining bindings, elapsed halts) is a deterministic function of the input. Base: the initial configuration is the root with the bindings extracted from S_q, deterministic by assumption. Step: at node v_i exactly one of two cases obtains. Case (a): all symbols referenced by ψ_i are bound and their evidence satisfies the freshness and confidence requirements of Φ_ev; by totality of the L_pred semantics, ψ_i evaluates to a unique boolean b ∈ {TRUE, FALSE}, and the labelled edge (v_i, ·, b) is unique by construction of the edge set. Case (b): some symbol is unbound or mistyped, or its evidence is stale or below the confidence floor; the runtime then emits the corresponding typed verdict HALTED_MISSING_SYMBOL, HALTED_TYPE_MISMATCH, or HALTED_STALE_EVIDENCE at v_i and stops. In both cases the next configuration is a function of the current one; no random source exists anywhere in the loop (sampling is confined to Tiers I and III, both outside this execution). Induction yields a unique trace T_exec, hence Var(T_exec | S_q, E_rag) = 0. □</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A.2 Derivation and Discussion of Proposition 1</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Derivation. </w:t>
      </w:r>
      <w:r>
        <w:rPr>
          <w:rFonts w:ascii="Times New Roman" w:cs="Times New Roman" w:eastAsia="SimSun" w:hAnsi="Times New Roman"/>
          <w:b w:val="false"/>
          <w:bCs w:val="false"/>
          <w:i w:val="false"/>
          <w:iCs w:val="false"/>
          <w:color w:val="000000"/>
          <w:sz w:val="24"/>
          <w:szCs w:val="24"/>
          <w:rtl w:val="false"/>
        </w:rPr>
        <w:t xml:space="preserve">Let Z be the latent decision variable, A_k the injected anchor sequence, and y_&lt;t the prefix. The chain rule for conditional mutual information gives, for any post-anchor position t + j:</w:t>
      </w:r>
    </w:p>
    <w:p>
      <w:pPr>
        <w:tabs>
          <w:tab w:val="center" w:pos="4394"/>
          <w:tab w:val="right" w:pos="8788"/>
        </w:tabs>
        <w:spacing w:after="120" w:before="120" w:line="360"/>
      </w:pPr>
      <w:r>
        <w:t xml:space="preserve">	</w:t>
      </w:r>
      <m:oMath>
        <m:sSub>
          <m:sSubPr/>
          <m:e>
            <m:r>
              <m:t>H</m:t>
            </m:r>
          </m:e>
          <m:sub>
            <m:r>
              <m:t>SLM</m:t>
            </m:r>
          </m:sub>
        </m:sSub>
        <m:r>
          <m:t>(</m:t>
        </m:r>
        <m:sSub>
          <m:sSubPr/>
          <m:e>
            <m:r>
              <m:t>Y</m:t>
            </m:r>
          </m:e>
          <m:sub>
            <m:r>
              <m:t>t+k</m:t>
            </m:r>
          </m:sub>
        </m:sSub>
        <m:r>
          <m:t xml:space="preserve"> ∣ </m:t>
        </m:r>
        <m:sSub>
          <m:sSubPr/>
          <m:e>
            <m:r>
              <m:t>y</m:t>
            </m:r>
          </m:e>
          <m:sub>
            <m:r>
              <m:t>&lt;t</m:t>
            </m:r>
          </m:sub>
        </m:sSub>
        <m:r>
          <m:t xml:space="preserve"> , </m:t>
        </m:r>
        <m:sSub>
          <m:sSubPr/>
          <m:e>
            <m:r>
              <m:t>A</m:t>
            </m:r>
          </m:e>
          <m:sub>
            <m:r>
              <m:t>k</m:t>
            </m:r>
          </m:sub>
        </m:sSub>
        <m:r>
          <m:t xml:space="preserve">) = </m:t>
        </m:r>
        <m:sSub>
          <m:sSubPr/>
          <m:e>
            <m:r>
              <m:t>H</m:t>
            </m:r>
          </m:e>
          <m:sub>
            <m:r>
              <m:t>SLM</m:t>
            </m:r>
          </m:sub>
        </m:sSub>
        <m:r>
          <m:t>(</m:t>
        </m:r>
        <m:sSub>
          <m:sSubPr/>
          <m:e>
            <m:r>
              <m:t>Y</m:t>
            </m:r>
          </m:e>
          <m:sub>
            <m:r>
              <m:t>t+k</m:t>
            </m:r>
          </m:sub>
        </m:sSub>
        <m:r>
          <m:t xml:space="preserve"> ∣ </m:t>
        </m:r>
        <m:sSub>
          <m:sSubPr/>
          <m:e>
            <m:r>
              <m:t>y</m:t>
            </m:r>
          </m:e>
          <m:sub>
            <m:r>
              <m:t>&lt;t</m:t>
            </m:r>
          </m:sub>
        </m:sSub>
        <m:r>
          <m:t>) − I(</m:t>
        </m:r>
        <m:sSub>
          <m:sSubPr/>
          <m:e>
            <m:r>
              <m:t>Y</m:t>
            </m:r>
          </m:e>
          <m:sub>
            <m:r>
              <m:t>t+k</m:t>
            </m:r>
          </m:sub>
        </m:sSub>
        <m:r>
          <m:t xml:space="preserve"> ; </m:t>
        </m:r>
        <m:sSub>
          <m:sSubPr/>
          <m:e>
            <m:r>
              <m:t>A</m:t>
            </m:r>
          </m:e>
          <m:sub>
            <m:r>
              <m:t>k</m:t>
            </m:r>
          </m:sub>
        </m:sSub>
        <m:r>
          <m:t xml:space="preserve"> ∣ </m:t>
        </m:r>
        <m:sSub>
          <m:sSubPr/>
          <m:e>
            <m:r>
              <m:t>y</m:t>
            </m:r>
          </m:e>
          <m:sub>
            <m:r>
              <m:t>&lt;t</m:t>
            </m:r>
          </m:sub>
        </m:sSub>
        <m:r>
          <m:t>)</m:t>
        </m:r>
      </m:oMath>
      <w:r>
        <w:rPr>
          <w:rFonts w:ascii="Times New Roman" w:cs="Times New Roman" w:eastAsia="SimSun" w:hAnsi="Times New Roman"/>
          <w:sz w:val="24"/>
          <w:szCs w:val="24"/>
        </w:rPr>
        <w:t xml:space="preserve">	(16)</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i.e., the residual conditional entropy equals the prior conditional entropy minus the information the anchors carry about the continuation given the prefix. If the post-anchor continuation is generated by the small model as Y | (Z, y_&lt;t) with Z now pinned by A_k — I(Z; A_k | y_&lt;t) ≈ H(Z | y_&lt;t), so that P(Z = z* | y_&lt;t, A_k) → 1 — then the multi-modal mixture over branches z_1, …, z_m is replaced by the single-branch conditional distribution, and the residual entropy is the within-branch (largely syntactic) entropy:</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H_SLM(Y_(t+j) | y_&lt;t, A_k) ≈ H_SLM(Y_(t+j) | y_&lt;t, Z = z*),</w:t>
      </w:r>
      <ital>true</ital>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which is low precisely because within a fixed branch the continuation is the kind of near-deterministic text that small models track reliably [19, 20]. This is the sense in which the anchors induce a collapse. </w:t>
      </w:r>
      <w:r>
        <w:rPr>
          <w:rFonts w:ascii="Times New Roman" w:cs="Times New Roman" w:eastAsia="SimSun" w:hAnsi="Times New Roman"/>
          <w:b/>
          <w:bCs/>
          <w:i w:val="false"/>
          <w:iCs w:val="false"/>
          <w:color w:val="000000"/>
          <w:sz w:val="24"/>
          <w:szCs w:val="24"/>
          <w:rtl w:val="false"/>
        </w:rPr>
        <w:t xml:space="preserve">Discussion of the assumption. </w:t>
      </w:r>
      <w:r>
        <w:rPr>
          <w:rFonts w:ascii="Times New Roman" w:cs="Times New Roman" w:eastAsia="SimSun" w:hAnsi="Times New Roman"/>
          <w:b w:val="false"/>
          <w:bCs w:val="false"/>
          <w:i w:val="false"/>
          <w:iCs w:val="false"/>
          <w:color w:val="000000"/>
          <w:sz w:val="24"/>
          <w:szCs w:val="24"/>
          <w:rtl w:val="false"/>
        </w:rPr>
        <w:t xml:space="preserve">The argument degrades exactly when A_k fails to pin Z: anchors that are lexically fluent but normatively ambiguous (e.g., 'the claim is partially acceptable') leave posterior mass on several branches, the collapse is partial, and the next interrupt fires soon after — a behaviour the cooldown window damps but does not remove. This is why the paper treats anchor quality as an oracle-inherited risk (Section 10.2) and why the validation protocol measures the empirical interrupt rate and its correlation with expert-graded correctness, rather than assuming the collapse. □</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A.3 Derivation of Theorem 2</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Setup. </w:t>
      </w:r>
      <w:r>
        <w:rPr>
          <w:rFonts w:ascii="Times New Roman" w:cs="Times New Roman" w:eastAsia="SimSun" w:hAnsi="Times New Roman"/>
          <w:b w:val="false"/>
          <w:bCs w:val="false"/>
          <w:i w:val="false"/>
          <w:iCs w:val="false"/>
          <w:color w:val="000000"/>
          <w:sz w:val="24"/>
          <w:szCs w:val="24"/>
          <w:rtl w:val="false"/>
        </w:rPr>
        <w:t xml:space="preserve">Per request, three disjoint regimes are possible: (R1) fast path — a candidate is admitted and completes (probability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(1 −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an identity that holds because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is defined conditionally on admission); (R2) bail-out — a candidate is admitted but halts (probability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paying the guard-and-abort overhead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and then the full oracle path; (R3) miss — no candidate passes the gate (probability 1 −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paying only extraction, retrieval, and the full oracle path. The oracle is additionally invoked in anchor windows on the fast path, contributing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calls of k tokens each, with λ</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 k·n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/|Y| where |Y| is the rendered length. Because the three regimes are disjoint by construction, the derivation below is exact arithmetic on probabilities; no independence assumption is used.</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Reasoning tokens. </w:t>
      </w:r>
      <w:r>
        <w:rPr>
          <w:rFonts w:ascii="Times New Roman" w:cs="Times New Roman" w:eastAsia="SimSun" w:hAnsi="Times New Roman"/>
          <w:b w:val="false"/>
          <w:bCs w:val="false"/>
          <w:i w:val="false"/>
          <w:iCs w:val="false"/>
          <w:color w:val="000000"/>
          <w:sz w:val="24"/>
          <w:szCs w:val="24"/>
          <w:rtl w:val="false"/>
        </w:rPr>
        <w:t xml:space="preserve">The oracle produces its full reasoning chain only in regimes R2 and R3, whose total probability is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 (1 −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hence E[N</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 N</w:t>
      </w:r>
      <w:r>
        <w:rPr>
          <w:rFonts w:ascii="Times New Roman" w:cs="Times New Roman" w:eastAsia="SimSun" w:hAnsi="Times New Roman"/>
          <w:b w:val="false"/>
          <w:bCs w:val="false"/>
          <w:i w:val="false"/>
          <w:iCs w:val="false"/>
          <w:color w:val="000000"/>
          <w:sz w:val="24"/>
          <w:szCs w:val="24"/>
          <w:vertAlign w:val="subscript"/>
          <w:rtl w:val="false"/>
        </w:rPr>
        <w:t xml:space="preserve">CoT</w:t>
      </w:r>
      <w:r>
        <w:rPr>
          <w:rFonts w:ascii="Times New Roman" w:cs="Times New Roman" w:eastAsia="SimSun" w:hAnsi="Times New Roman"/>
          <w:b w:val="false"/>
          <w:bCs w:val="false"/>
          <w:i w:val="false"/>
          <w:iCs w:val="false"/>
          <w:color w:val="000000"/>
          <w:sz w:val="24"/>
          <w:szCs w:val="24"/>
          <w:rtl w:val="false"/>
        </w:rPr>
        <w:t xml:space="preserve">, which is Equation (17).</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Latency. </w:t>
      </w:r>
      <w:r>
        <w:rPr>
          <w:rFonts w:ascii="Times New Roman" w:cs="Times New Roman" w:eastAsia="SimSun" w:hAnsi="Times New Roman"/>
          <w:b w:val="false"/>
          <w:bCs w:val="false"/>
          <w:i w:val="false"/>
          <w:iCs w:val="false"/>
          <w:color w:val="000000"/>
          <w:sz w:val="24"/>
          <w:szCs w:val="24"/>
          <w:rtl w:val="false"/>
        </w:rPr>
        <w:t xml:space="preserve">Every request pays T</w:t>
      </w:r>
      <w:r>
        <w:rPr>
          <w:rFonts w:ascii="Times New Roman" w:cs="Times New Roman" w:eastAsia="SimSun" w:hAnsi="Times New Roman"/>
          <w:b w:val="false"/>
          <w:bCs w:val="false"/>
          <w:i w:val="false"/>
          <w:iCs w:val="false"/>
          <w:color w:val="000000"/>
          <w:sz w:val="24"/>
          <w:szCs w:val="24"/>
          <w:vertAlign w:val="subscript"/>
          <w:rtl w:val="false"/>
        </w:rPr>
        <w:t xml:space="preserve">ext</w:t>
      </w:r>
      <w:r>
        <w:rPr>
          <w:rFonts w:ascii="Times New Roman" w:cs="Times New Roman" w:eastAsia="SimSun" w:hAnsi="Times New Roman"/>
          <w:b w:val="false"/>
          <w:bCs w:val="false"/>
          <w:i w:val="false"/>
          <w:iCs w:val="false"/>
          <w:color w:val="000000"/>
          <w:sz w:val="24"/>
          <w:szCs w:val="24"/>
          <w:rtl w:val="false"/>
        </w:rPr>
        <w:t xml:space="preserve"> + T</w:t>
      </w:r>
      <w:r>
        <w:rPr>
          <w:rFonts w:ascii="Times New Roman" w:cs="Times New Roman" w:eastAsia="SimSun" w:hAnsi="Times New Roman"/>
          <w:b w:val="false"/>
          <w:bCs w:val="false"/>
          <w:i w:val="false"/>
          <w:iCs w:val="false"/>
          <w:color w:val="000000"/>
          <w:sz w:val="24"/>
          <w:szCs w:val="24"/>
          <w:vertAlign w:val="subscript"/>
          <w:rtl w:val="false"/>
        </w:rPr>
        <w:t xml:space="preserve">ret</w:t>
      </w:r>
      <w:r>
        <w:rPr>
          <w:rFonts w:ascii="Times New Roman" w:cs="Times New Roman" w:eastAsia="SimSun" w:hAnsi="Times New Roman"/>
          <w:b w:val="false"/>
          <w:bCs w:val="false"/>
          <w:i w:val="false"/>
          <w:iCs w:val="false"/>
          <w:color w:val="000000"/>
          <w:sz w:val="24"/>
          <w:szCs w:val="24"/>
          <w:rtl w:val="false"/>
        </w:rPr>
        <w:t xml:space="preserve">. A fast-path completion (R1, probability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additionally pays T</w:t>
      </w:r>
      <w:r>
        <w:rPr>
          <w:rFonts w:ascii="Times New Roman" w:cs="Times New Roman" w:eastAsia="SimSun" w:hAnsi="Times New Roman"/>
          <w:b w:val="false"/>
          <w:bCs w:val="false"/>
          <w:i w:val="false"/>
          <w:iCs w:val="false"/>
          <w:color w:val="000000"/>
          <w:sz w:val="24"/>
          <w:szCs w:val="24"/>
          <w:vertAlign w:val="subscript"/>
          <w:rtl w:val="false"/>
        </w:rPr>
        <w:t xml:space="preserve">DAG</w:t>
      </w:r>
      <w:r>
        <w:rPr>
          <w:rFonts w:ascii="Times New Roman" w:cs="Times New Roman" w:eastAsia="SimSun" w:hAnsi="Times New Roman"/>
          <w:b w:val="false"/>
          <w:bCs w:val="false"/>
          <w:i w:val="false"/>
          <w:iCs w:val="false"/>
          <w:color w:val="000000"/>
          <w:sz w:val="24"/>
          <w:szCs w:val="24"/>
          <w:rtl w:val="false"/>
        </w:rPr>
        <w:t xml:space="preserve">, T</w:t>
      </w:r>
      <w:r>
        <w:rPr>
          <w:rFonts w:ascii="Times New Roman" w:cs="Times New Roman" w:eastAsia="SimSun" w:hAnsi="Times New Roman"/>
          <w:b w:val="false"/>
          <w:bCs w:val="false"/>
          <w:i w:val="false"/>
          <w:iCs w:val="false"/>
          <w:color w:val="000000"/>
          <w:sz w:val="24"/>
          <w:szCs w:val="24"/>
          <w:vertAlign w:val="subscript"/>
          <w:rtl w:val="false"/>
        </w:rPr>
        <w:t xml:space="preserve">SLM</w:t>
      </w:r>
      <w:r>
        <w:rPr>
          <w:rFonts w:ascii="Times New Roman" w:cs="Times New Roman" w:eastAsia="SimSun" w:hAnsi="Times New Roman"/>
          <w:b w:val="false"/>
          <w:bCs w:val="false"/>
          <w:i w:val="false"/>
          <w:iCs w:val="false"/>
          <w:color w:val="000000"/>
          <w:sz w:val="24"/>
          <w:szCs w:val="24"/>
          <w:rtl w:val="false"/>
        </w:rPr>
        <w:t xml:space="preserve"> at the interrupt load, and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anchor round-trips of T</w:t>
      </w:r>
      <w:r>
        <w:rPr>
          <w:rFonts w:ascii="Times New Roman" w:cs="Times New Roman" w:eastAsia="SimSun" w:hAnsi="Times New Roman"/>
          <w:b w:val="false"/>
          <w:bCs w:val="false"/>
          <w:i w:val="false"/>
          <w:iCs w:val="false"/>
          <w:color w:val="000000"/>
          <w:sz w:val="24"/>
          <w:szCs w:val="24"/>
          <w:vertAlign w:val="subscript"/>
          <w:rtl w:val="false"/>
        </w:rPr>
        <w:t xml:space="preserve">anchor</w:t>
      </w:r>
      <w:r>
        <w:rPr>
          <w:rFonts w:ascii="Times New Roman" w:cs="Times New Roman" w:eastAsia="SimSun" w:hAnsi="Times New Roman"/>
          <w:b w:val="false"/>
          <w:bCs w:val="false"/>
          <w:i w:val="false"/>
          <w:iCs w:val="false"/>
          <w:color w:val="000000"/>
          <w:sz w:val="24"/>
          <w:szCs w:val="24"/>
          <w:rtl w:val="false"/>
        </w:rPr>
        <w:t xml:space="preserve"> each. A bail-out (R2, probability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pays the doomed fast-path overhead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and then the full oracle latency 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a miss (R3) pays 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directly. The two oracle-path regimes share 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with total probability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but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belongs to R2 alone — which is why Equation (18) weights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by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and T</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by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w:t>
      </w:r>
    </w:p>
    <w:p>
      <w:pPr>
        <w:tabs>
          <w:tab w:val="center" w:pos="4394"/>
          <w:tab w:val="right" w:pos="8788"/>
        </w:tabs>
        <w:spacing w:after="120" w:before="120" w:line="360"/>
      </w:pPr>
      <w:r>
        <w:t xml:space="preserve">	</w:t>
      </w:r>
      <m:oMath>
        <m:r>
          <m:t>E[</m:t>
        </m:r>
        <m:sSub>
          <m:sSubPr/>
          <m:e>
            <m:r>
              <m:t>T</m:t>
            </m:r>
          </m:e>
          <m:sub>
            <m:r>
              <m:t>E2E</m:t>
            </m:r>
          </m:sub>
        </m:sSub>
        <m:r>
          <m:t xml:space="preserve">] = </m:t>
        </m:r>
        <m:sSub>
          <m:sSubPr/>
          <m:e>
            <m:r>
              <m:t>T</m:t>
            </m:r>
          </m:e>
          <m:sub>
            <m:r>
              <m:t>ext</m:t>
            </m:r>
          </m:sub>
        </m:sSub>
        <m:r>
          <m:t xml:space="preserve"> + </m:t>
        </m:r>
        <m:sSub>
          <m:sSubPr/>
          <m:e>
            <m:r>
              <m:t>T</m:t>
            </m:r>
          </m:e>
          <m:sub>
            <m:r>
              <m:t>ret</m:t>
            </m:r>
          </m:sub>
        </m:sSub>
        <m:r>
          <m:t xml:space="preserve"> + </m:t>
        </m:r>
        <m:sSub>
          <m:sSubPr/>
          <m:e>
            <m:r>
              <m:t>α</m:t>
            </m:r>
          </m:e>
          <m:sub>
            <m:r>
              <m:t>eff</m:t>
            </m:r>
          </m:sub>
        </m:sSub>
        <m:r>
          <m:t xml:space="preserve"> (</m:t>
        </m:r>
        <m:sSub>
          <m:sSubPr/>
          <m:e>
            <m:r>
              <m:t>T</m:t>
            </m:r>
          </m:e>
          <m:sub>
            <m:r>
              <m:t>DAG</m:t>
            </m:r>
          </m:sub>
        </m:sSub>
        <m:r>
          <m:t xml:space="preserve"> + </m:t>
        </m:r>
        <m:sSub>
          <m:sSubPr/>
          <m:e>
            <m:r>
              <m:t>T</m:t>
            </m:r>
          </m:e>
          <m:sub>
            <m:r>
              <m:t>SLM</m:t>
            </m:r>
          </m:sub>
        </m:sSub>
        <m:r>
          <m:t xml:space="preserve"> + </m:t>
        </m:r>
        <m:sSub>
          <m:sSubPr/>
          <m:e>
            <m:r>
              <m:t>n</m:t>
            </m:r>
          </m:e>
          <m:sub>
            <m:r>
              <m:t>anch</m:t>
            </m:r>
          </m:sub>
        </m:sSub>
        <m:r>
          <m:t xml:space="preserve"> </m:t>
        </m:r>
        <m:sSub>
          <m:sSubPr/>
          <m:e>
            <m:r>
              <m:t>T</m:t>
            </m:r>
          </m:e>
          <m:sub>
            <m:r>
              <m:t>anchor</m:t>
            </m:r>
          </m:sub>
        </m:sSub>
        <m:r>
          <m:t>)</m:t>
        </m:r>
      </m:oMath>
    </w:p>
    <w:p>
      <w:pPr>
        <w:tabs>
          <w:tab w:val="center" w:pos="4394"/>
          <w:tab w:val="right" w:pos="8788"/>
        </w:tabs>
        <w:spacing w:after="120" w:before="120" w:line="360"/>
      </w:pPr>
      <w:r>
        <w:t xml:space="preserve">	</w:t>
      </w:r>
      <m:oMath>
        <m:r>
          <m:t xml:space="preserve"> + </m:t>
        </m:r>
        <m:sSub>
          <m:sSubPr/>
          <m:e>
            <m:r>
              <m:t>p</m:t>
            </m:r>
          </m:e>
          <m:sub>
            <m:r>
              <m:t>hit</m:t>
            </m:r>
          </m:sub>
        </m:sSub>
        <m:r>
          <m:t xml:space="preserve"> </m:t>
        </m:r>
        <m:sSub>
          <m:sSubPr/>
          <m:e>
            <m:r>
              <m:t>p</m:t>
            </m:r>
          </m:e>
          <m:sub>
            <m:r>
              <m:t>halt</m:t>
            </m:r>
          </m:sub>
        </m:sSub>
        <m:r>
          <m:t xml:space="preserve"> </m:t>
        </m:r>
        <m:sSub>
          <m:sSubPr/>
          <m:e>
            <m:r>
              <m:t>T</m:t>
            </m:r>
          </m:e>
          <m:sub>
            <m:r>
              <m:t>bo</m:t>
            </m:r>
          </m:sub>
        </m:sSub>
        <m:r>
          <m:t xml:space="preserve"> + (1 − </m:t>
        </m:r>
        <m:sSub>
          <m:sSubPr/>
          <m:e>
            <m:r>
              <m:t>α</m:t>
            </m:r>
          </m:e>
          <m:sub>
            <m:r>
              <m:t>eff</m:t>
            </m:r>
          </m:sub>
        </m:sSub>
        <m:r>
          <m:t xml:space="preserve">) </m:t>
        </m:r>
        <m:sSub>
          <m:sSubPr/>
          <m:e>
            <m:r>
              <m:t>T</m:t>
            </m:r>
          </m:e>
          <m:sub>
            <m:r>
              <m:t>oracle</m:t>
            </m:r>
          </m:sub>
        </m:sSub>
      </m:oMath>
      <w:r>
        <w:rPr>
          <w:rFonts w:ascii="Times New Roman" w:cs="Times New Roman" w:eastAsia="SimSun" w:hAnsi="Times New Roman"/>
          <w:sz w:val="24"/>
          <w:szCs w:val="24"/>
        </w:rPr>
        <w:t xml:space="preserve">	(18)</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Weighting T</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inside the (1 − α</w:t>
      </w:r>
      <w:r>
        <w:rPr>
          <w:rFonts w:ascii="Times New Roman" w:cs="Times New Roman" w:eastAsia="SimSun" w:hAnsi="Times New Roman"/>
          <w:b w:val="false"/>
          <w:bCs w:val="false"/>
          <w:i w:val="false"/>
          <w:iCs w:val="false"/>
          <w:color w:val="000000"/>
          <w:sz w:val="24"/>
          <w:szCs w:val="24"/>
          <w:vertAlign w:val="subscript"/>
          <w:rtl w:val="false"/>
        </w:rPr>
        <w:t xml:space="preserve">eff</w:t>
      </w:r>
      <w:r>
        <w:rPr>
          <w:rFonts w:ascii="Times New Roman" w:cs="Times New Roman" w:eastAsia="SimSun" w:hAnsi="Times New Roman"/>
          <w:b w:val="false"/>
          <w:bCs w:val="false"/>
          <w:i w:val="false"/>
          <w:iCs w:val="false"/>
          <w:color w:val="000000"/>
          <w:sz w:val="24"/>
          <w:szCs w:val="24"/>
          <w:rtl w:val="false"/>
        </w:rPr>
        <w:t xml:space="preserve">) bracket — as an earlier draft of this model did — mis-weights the halt regime, because it multiplies the halt overhead by the probability of the union of both failure modes rather than by the probability of the halt itself. Telemetry reports the joint distribution of retrieval success and halt (Section 8.4), so the empirical p</w:t>
      </w:r>
      <w:r>
        <w:rPr>
          <w:rFonts w:ascii="Times New Roman" w:cs="Times New Roman" w:eastAsia="SimSun" w:hAnsi="Times New Roman"/>
          <w:b w:val="false"/>
          <w:bCs w:val="false"/>
          <w:i w:val="false"/>
          <w:iCs w:val="false"/>
          <w:color w:val="000000"/>
          <w:sz w:val="24"/>
          <w:szCs w:val="24"/>
          <w:vertAlign w:val="subscript"/>
          <w:rtl w:val="false"/>
        </w:rPr>
        <w:t xml:space="preserve">hit</w:t>
      </w:r>
      <w:r>
        <w:rPr>
          <w:rFonts w:ascii="Times New Roman" w:cs="Times New Roman" w:eastAsia="SimSun" w:hAnsi="Times New Roman"/>
          <w:b w:val="false"/>
          <w:bCs w:val="false"/>
          <w:i w:val="false"/>
          <w:iCs w:val="false"/>
          <w:color w:val="000000"/>
          <w:sz w:val="24"/>
          <w:szCs w:val="24"/>
          <w:rtl w:val="false"/>
        </w:rPr>
        <w:t xml:space="preserve"> and p</w:t>
      </w:r>
      <w:r>
        <w:rPr>
          <w:rFonts w:ascii="Times New Roman" w:cs="Times New Roman" w:eastAsia="SimSun" w:hAnsi="Times New Roman"/>
          <w:b w:val="false"/>
          <w:bCs w:val="false"/>
          <w:i w:val="false"/>
          <w:iCs w:val="false"/>
          <w:color w:val="000000"/>
          <w:sz w:val="24"/>
          <w:szCs w:val="24"/>
          <w:vertAlign w:val="subscript"/>
          <w:rtl w:val="false"/>
        </w:rPr>
        <w:t xml:space="preserve">halt</w:t>
      </w:r>
      <w:r>
        <w:rPr>
          <w:rFonts w:ascii="Times New Roman" w:cs="Times New Roman" w:eastAsia="SimSun" w:hAnsi="Times New Roman"/>
          <w:b w:val="false"/>
          <w:bCs w:val="false"/>
          <w:i w:val="false"/>
          <w:iCs w:val="false"/>
          <w:color w:val="000000"/>
          <w:sz w:val="24"/>
          <w:szCs w:val="24"/>
          <w:rtl w:val="false"/>
        </w:rPr>
        <w:t xml:space="preserve"> substitute directly into Equation (18) whatever their correlation structure.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Cost. </w:t>
      </w:r>
      <w:r>
        <w:rPr>
          <w:rFonts w:ascii="Times New Roman" w:cs="Times New Roman" w:eastAsia="SimSun" w:hAnsi="Times New Roman"/>
          <w:b w:val="false"/>
          <w:bCs w:val="false"/>
          <w:i w:val="false"/>
          <w:iCs w:val="false"/>
          <w:color w:val="000000"/>
          <w:sz w:val="24"/>
          <w:szCs w:val="24"/>
          <w:rtl w:val="false"/>
        </w:rPr>
        <w:t xml:space="preserve">Hosting contributes C</w:t>
      </w:r>
      <w:r>
        <w:rPr>
          <w:rFonts w:ascii="Times New Roman" w:cs="Times New Roman" w:eastAsia="SimSun" w:hAnsi="Times New Roman"/>
          <w:b w:val="false"/>
          <w:bCs w:val="false"/>
          <w:i w:val="false"/>
          <w:iCs w:val="false"/>
          <w:color w:val="000000"/>
          <w:sz w:val="24"/>
          <w:szCs w:val="24"/>
          <w:vertAlign w:val="subscript"/>
          <w:rtl w:val="false"/>
        </w:rPr>
        <w:t xml:space="preserve">host</w:t>
      </w:r>
      <w:r>
        <w:rPr>
          <w:rFonts w:ascii="Times New Roman" w:cs="Times New Roman" w:eastAsia="SimSun" w:hAnsi="Times New Roman"/>
          <w:b w:val="false"/>
          <w:bCs w:val="false"/>
          <w:i w:val="false"/>
          <w:iCs w:val="false"/>
          <w:color w:val="000000"/>
          <w:sz w:val="24"/>
          <w:szCs w:val="24"/>
          <w:rtl w:val="false"/>
        </w:rPr>
        <w:t xml:space="preserve"> per request wherever the local model is provisioned. A fast-path completion pays n</w:t>
      </w:r>
      <w:r>
        <w:rPr>
          <w:rFonts w:ascii="Times New Roman" w:cs="Times New Roman" w:eastAsia="SimSun" w:hAnsi="Times New Roman"/>
          <w:b w:val="false"/>
          <w:bCs w:val="false"/>
          <w:i w:val="false"/>
          <w:iCs w:val="false"/>
          <w:color w:val="000000"/>
          <w:sz w:val="24"/>
          <w:szCs w:val="24"/>
          <w:vertAlign w:val="subscript"/>
          <w:rtl w:val="false"/>
        </w:rPr>
        <w:t xml:space="preserve">anch</w:t>
      </w:r>
      <w:r>
        <w:rPr>
          <w:rFonts w:ascii="Times New Roman" w:cs="Times New Roman" w:eastAsia="SimSun" w:hAnsi="Times New Roman"/>
          <w:b w:val="false"/>
          <w:bCs w:val="false"/>
          <w:i w:val="false"/>
          <w:iCs w:val="false"/>
          <w:color w:val="000000"/>
          <w:sz w:val="24"/>
          <w:szCs w:val="24"/>
          <w:rtl w:val="false"/>
        </w:rPr>
        <w:t xml:space="preserve"> anchor calls, each priced by Equation (19): the re-sent input — the stable part a</w:t>
      </w:r>
      <w:r>
        <w:rPr>
          <w:rFonts w:ascii="Times New Roman" w:cs="Times New Roman" w:eastAsia="SimSun" w:hAnsi="Times New Roman"/>
          <w:b w:val="false"/>
          <w:bCs w:val="false"/>
          <w:i w:val="false"/>
          <w:iCs w:val="false"/>
          <w:color w:val="000000"/>
          <w:sz w:val="24"/>
          <w:szCs w:val="24"/>
          <w:vertAlign w:val="subscript"/>
          <w:rtl w:val="false"/>
        </w:rPr>
        <w:t xml:space="preserve">stab</w:t>
      </w:r>
      <w:r>
        <w:rPr>
          <w:rFonts w:ascii="Times New Roman" w:cs="Times New Roman" w:eastAsia="SimSun" w:hAnsi="Times New Roman"/>
          <w:b w:val="false"/>
          <w:bCs w:val="false"/>
          <w:i w:val="false"/>
          <w:iCs w:val="false"/>
          <w:color w:val="000000"/>
          <w:sz w:val="24"/>
          <w:szCs w:val="24"/>
          <w:rtl w:val="false"/>
        </w:rPr>
        <w:t xml:space="preserve"> of prefix, capsules, and trace at the cached-input factor β, plus the uncached suffix a</w:t>
      </w:r>
      <w:r>
        <w:rPr>
          <w:rFonts w:ascii="Times New Roman" w:cs="Times New Roman" w:eastAsia="SimSun" w:hAnsi="Times New Roman"/>
          <w:b w:val="false"/>
          <w:bCs w:val="false"/>
          <w:i w:val="false"/>
          <w:iCs w:val="false"/>
          <w:color w:val="000000"/>
          <w:sz w:val="24"/>
          <w:szCs w:val="24"/>
          <w:vertAlign w:val="subscript"/>
          <w:rtl w:val="false"/>
        </w:rPr>
        <w:t xml:space="preserve">suf</w:t>
      </w:r>
      <w:r>
        <w:rPr>
          <w:rFonts w:ascii="Times New Roman" w:cs="Times New Roman" w:eastAsia="SimSun" w:hAnsi="Times New Roman"/>
          <w:b w:val="false"/>
          <w:bCs w:val="false"/>
          <w:i w:val="false"/>
          <w:iCs w:val="false"/>
          <w:color w:val="000000"/>
          <w:sz w:val="24"/>
          <w:szCs w:val="24"/>
          <w:rtl w:val="false"/>
        </w:rPr>
        <w:t xml:space="preserve"> — and k output tokens. A bail-out pays the wasted fast-path spend C</w:t>
      </w:r>
      <w:r>
        <w:rPr>
          <w:rFonts w:ascii="Times New Roman" w:cs="Times New Roman" w:eastAsia="SimSun" w:hAnsi="Times New Roman"/>
          <w:b w:val="false"/>
          <w:bCs w:val="false"/>
          <w:i w:val="false"/>
          <w:iCs w:val="false"/>
          <w:color w:val="000000"/>
          <w:sz w:val="24"/>
          <w:szCs w:val="24"/>
          <w:vertAlign w:val="subscript"/>
          <w:rtl w:val="false"/>
        </w:rPr>
        <w:t xml:space="preserve">bo</w:t>
      </w:r>
      <w:r>
        <w:rPr>
          <w:rFonts w:ascii="Times New Roman" w:cs="Times New Roman" w:eastAsia="SimSun" w:hAnsi="Times New Roman"/>
          <w:b w:val="false"/>
          <w:bCs w:val="false"/>
          <w:i w:val="false"/>
          <w:iCs w:val="false"/>
          <w:color w:val="000000"/>
          <w:sz w:val="24"/>
          <w:szCs w:val="24"/>
          <w:rtl w:val="false"/>
        </w:rPr>
        <w:t xml:space="preserve">; a bail-out or miss pays the full oracle cost C</w:t>
      </w:r>
      <w:r>
        <w:rPr>
          <w:rFonts w:ascii="Times New Roman" w:cs="Times New Roman" w:eastAsia="SimSun" w:hAnsi="Times New Roman"/>
          <w:b w:val="false"/>
          <w:bCs w:val="false"/>
          <w:i w:val="false"/>
          <w:iCs w:val="false"/>
          <w:color w:val="000000"/>
          <w:sz w:val="24"/>
          <w:szCs w:val="24"/>
          <w:vertAlign w:val="subscript"/>
          <w:rtl w:val="false"/>
        </w:rPr>
        <w:t xml:space="preserve">oracle</w:t>
      </w:r>
      <w:r>
        <w:rPr>
          <w:rFonts w:ascii="Times New Roman" w:cs="Times New Roman" w:eastAsia="SimSun" w:hAnsi="Times New Roman"/>
          <w:b w:val="false"/>
          <w:bCs w:val="false"/>
          <w:i w:val="false"/>
          <w:iCs w:val="false"/>
          <w:color w:val="000000"/>
          <w:sz w:val="24"/>
          <w:szCs w:val="24"/>
          <w:rtl w:val="false"/>
        </w:rPr>
        <w:t xml:space="preserve">. Collecting terms gives</w:t>
      </w:r>
    </w:p>
    <w:p>
      <w:pPr>
        <w:tabs>
          <w:tab w:val="center" w:pos="4394"/>
          <w:tab w:val="right" w:pos="8788"/>
        </w:tabs>
        <w:spacing w:after="120" w:before="120" w:line="360"/>
      </w:pPr>
      <w:r>
        <w:t xml:space="preserve">	</w:t>
      </w:r>
      <m:oMath>
        <m:r>
          <m:t>E[</m:t>
        </m:r>
        <m:sSub>
          <m:sSubPr/>
          <m:e>
            <m:r>
              <m:t>C</m:t>
            </m:r>
          </m:e>
          <m:sub>
            <m:r>
              <m:t>req</m:t>
            </m:r>
          </m:sub>
        </m:sSub>
        <m:r>
          <m:t xml:space="preserve">] = </m:t>
        </m:r>
        <m:sSub>
          <m:sSubPr/>
          <m:e>
            <m:r>
              <m:t>C</m:t>
            </m:r>
          </m:e>
          <m:sub>
            <m:r>
              <m:t>host</m:t>
            </m:r>
          </m:sub>
        </m:sSub>
        <m:r>
          <m:t xml:space="preserve"> + </m:t>
        </m:r>
        <m:sSub>
          <m:sSubPr/>
          <m:e>
            <m:r>
              <m:t>α</m:t>
            </m:r>
          </m:e>
          <m:sub>
            <m:r>
              <m:t>eff</m:t>
            </m:r>
          </m:sub>
        </m:sSub>
        <m:r>
          <m:t xml:space="preserve"> </m:t>
        </m:r>
        <m:sSub>
          <m:sSubPr/>
          <m:e>
            <m:r>
              <m:t>n</m:t>
            </m:r>
          </m:e>
          <m:sub>
            <m:r>
              <m:t>anch</m:t>
            </m:r>
          </m:sub>
        </m:sSub>
        <m:r>
          <m:t xml:space="preserve"> </m:t>
        </m:r>
        <m:sSub>
          <m:sSubPr/>
          <m:e>
            <m:r>
              <m:t>C</m:t>
            </m:r>
          </m:e>
          <m:sub>
            <m:r>
              <m:t>anchor</m:t>
            </m:r>
          </m:sub>
        </m:sSub>
        <m:r>
          <m:t xml:space="preserve"> + </m:t>
        </m:r>
        <m:sSub>
          <m:sSubPr/>
          <m:e>
            <m:r>
              <m:t>p</m:t>
            </m:r>
          </m:e>
          <m:sub>
            <m:r>
              <m:t>hit</m:t>
            </m:r>
          </m:sub>
        </m:sSub>
        <m:r>
          <m:t xml:space="preserve"> </m:t>
        </m:r>
        <m:sSub>
          <m:sSubPr/>
          <m:e>
            <m:r>
              <m:t>p</m:t>
            </m:r>
          </m:e>
          <m:sub>
            <m:r>
              <m:t>halt</m:t>
            </m:r>
          </m:sub>
        </m:sSub>
        <m:r>
          <m:t xml:space="preserve"> </m:t>
        </m:r>
        <m:sSub>
          <m:sSubPr/>
          <m:e>
            <m:r>
              <m:t>C</m:t>
            </m:r>
          </m:e>
          <m:sub>
            <m:r>
              <m:t>bo</m:t>
            </m:r>
          </m:sub>
        </m:sSub>
      </m:oMath>
    </w:p>
    <w:p>
      <w:pPr>
        <w:tabs>
          <w:tab w:val="center" w:pos="4394"/>
          <w:tab w:val="right" w:pos="8788"/>
        </w:tabs>
        <w:spacing w:after="120" w:before="120" w:line="360"/>
      </w:pPr>
      <w:r>
        <w:t xml:space="preserve">	</w:t>
      </w:r>
      <m:oMath>
        <m:r>
          <m:t xml:space="preserve"> + (1 − </m:t>
        </m:r>
        <m:sSub>
          <m:sSubPr/>
          <m:e>
            <m:r>
              <m:t>α</m:t>
            </m:r>
          </m:e>
          <m:sub>
            <m:r>
              <m:t>eff</m:t>
            </m:r>
          </m:sub>
        </m:sSub>
        <m:r>
          <m:t xml:space="preserve">) </m:t>
        </m:r>
        <m:sSub>
          <m:sSubPr/>
          <m:e>
            <m:r>
              <m:t>C</m:t>
            </m:r>
          </m:e>
          <m:sub>
            <m:r>
              <m:t>oracle</m:t>
            </m:r>
          </m:sub>
        </m:sSub>
      </m:oMath>
      <w:r>
        <w:rPr>
          <w:rFonts w:ascii="Times New Roman" w:cs="Times New Roman" w:eastAsia="SimSun" w:hAnsi="Times New Roman"/>
          <w:sz w:val="24"/>
          <w:szCs w:val="24"/>
        </w:rPr>
        <w:t xml:space="preserve">	(20)</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A.4 Proof of Theorem 3</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Claim. </w:t>
      </w:r>
      <w:r>
        <w:rPr>
          <w:rFonts w:ascii="Times New Roman" w:cs="Times New Roman" w:eastAsia="SimSun" w:hAnsi="Times New Roman"/>
          <w:b w:val="false"/>
          <w:bCs w:val="false"/>
          <w:i w:val="false"/>
          <w:iCs w:val="false"/>
          <w:color w:val="000000"/>
          <w:sz w:val="24"/>
          <w:szCs w:val="24"/>
          <w:rtl w:val="false"/>
        </w:rPr>
        <w:t xml:space="preserve">Under assumptions A1–A4 of Section 7.4, a candidate x that violates at least one acceptance condition of the transfer gate is rejected; the set of accepted candidates is exactly the set of candidates satisfying every conjunct on positively verified typed evidence.</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Proof. </w:t>
      </w:r>
      <w:r>
        <w:rPr>
          <w:rFonts w:ascii="Times New Roman" w:cs="Times New Roman" w:eastAsia="SimSun" w:hAnsi="Times New Roman"/>
          <w:b w:val="false"/>
          <w:bCs w:val="false"/>
          <w:i w:val="false"/>
          <w:iCs w:val="false"/>
          <w:color w:val="000000"/>
          <w:sz w:val="24"/>
          <w:szCs w:val="24"/>
          <w:rtl w:val="false"/>
        </w:rPr>
        <w:t xml:space="preserve">Write the gate's decision predicate as a conjunction Γ(x) = γ_1(x) ∧ … ∧ γ_m(x) of m conjuncts — verification and lifecycle status, per-side canonical domain identity, contract-version equality, per-side version currency, adapter identity, tenant sharing scope, transfer licence, preconditions, exclusions, and evidence admissibility — each of which is evaluated by the gate procedure as a total function into {REJECT, ACCEPT-CANDIDATE}. We proceed by case analysis over the ways a candidate can violate an acceptance condition.</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 1: some conjunct γ_i is affirmatively false — the evidence was obtained and it is negative (a genuine mismatch: different domains, different versions, an exclusion that fires, a precondition that fails). By construction of the decision procedure, an affirmatively false conjunct terminates evaluation with the corresponding typed rejection code; the candidate is rejected.</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 2: some conjunct γ_i cannot be affirmatively evaluated — the required field is missing, unparseable, of the wrong type, or carries a non-affirmative status value. Under (A1), the evaluation semantics is explicit-affirmative: only positively verified boolean evidence yields the accept-candidate value, so any such value — including truthy non-boolean placeholders such as an ‘unknown’ status string — yields reject. Formally, the evaluator implements g(status) = (status = TRUE), and g is false for every input outside the singleton {TRUE}; therefore the conjunct fails closed and the candidate is rejected. This closes the gap by which a loosely typed runtime could accept a truthy ‘unknown’.</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 3: the domain-identity conjunct γ_dom is evaluated on identifiers that are not genuinely identical. The conjunct tests equality of the canonical identifiers d_q and d_c. Under (A2), d_q and d_c lie in the image of a versioned mapping certified injective on the declared taxonomy: injectivity gives ∀a ≠ b, canon(a) ≠ canon(b), so canon(a) = canon(b) implies a = b — the equality of canonical identifiers is sound with respect to the underlying raw domains. If the certification or the mapping version is unavailable, or if a collision/ambiguity is detected, the canonicalization conjunct itself fails closed (Case 2 semantics), so the unsound comparison is never reached. Hence the domain conjunct can accept only genuinely same-domain candidates.</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 4: the version conjuncts are satisfied syntactically but the metadata is stale. Under (A3), version equality v_q = v_c is necessary but not sufficient: acceptance additionally requires per-side currency status current(v_q) = current(v_c) = TRUE, obtained from the version registry. Stale, revoked, expired, or unknown currency yields a non-affirmative status, which fails closed by Case 2. Therefore no pair of equal-but-stale versions is accepted.</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 5: no conjunct is violated. Then every γ_i(x) holds on positively verified evidence, the conjunction Γ(x) is true, and — under (A4), which guarantees that no execution path consumes a candidate without evaluating Γ — the candidate is admitted and executed. This is exactly the admissible set.</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Cases 1–4 exhaust every way a candidate can violate an acceptance condition, and each ends in rejection; Case 5 shows the admissible set is accepted. Moreover the default for every unresolvable input is rejection (fail-closed), so registry unavailability or a failed policy lookup cannot widen the accepted set. Hence, under A1–A4, an incorrect acceptance is not derivable at the gate level. □</w:t>
      </w:r>
    </w:p>
    <w:p>
      <w:pPr>
        <w:keepNext w:val="false"/>
        <w:bidi w:val="false"/>
        <w:spacing w:after="60" w:before="0" w:line="360"/>
        <w:jc w:val="both"/>
      </w:pPr>
      <w:r>
        <w:rPr>
          <w:rFonts w:ascii="Times New Roman" w:cs="Times New Roman" w:eastAsia="SimSun" w:hAnsi="Times New Roman"/>
          <w:b/>
          <w:bCs/>
          <w:i w:val="false"/>
          <w:iCs w:val="false"/>
          <w:color w:val="000000"/>
          <w:sz w:val="24"/>
          <w:szCs w:val="24"/>
          <w:rtl w:val="false"/>
        </w:rPr>
        <w:t xml:space="preserve">Scope. </w:t>
      </w:r>
      <w:r>
        <w:rPr>
          <w:rFonts w:ascii="Times New Roman" w:cs="Times New Roman" w:eastAsia="SimSun" w:hAnsi="Times New Roman"/>
          <w:b w:val="false"/>
          <w:bCs w:val="false"/>
          <w:i w:val="false"/>
          <w:iCs w:val="false"/>
          <w:color w:val="000000"/>
          <w:sz w:val="24"/>
          <w:szCs w:val="24"/>
          <w:rtl w:val="false"/>
        </w:rPr>
        <w:t xml:space="preserve">The proof characterises the specified procedure. It assumes nothing about, and therefore establishes nothing about, the correctness of upstream domain extraction (a wrong raw label is canonised consistently and the gate operates on it as given — this is the extraction-error class the trap benchmark of Section 9.5 measures), the completeness of the compatibility policy, the availability of the registry beyond fail-closed behaviour, or empirical rates in deployment. Conformance of a concrete implementation to this procedure is a separate, testable property (Section 8.5).</w:t>
      </w:r>
    </w:p>
    <w:p>
      <w:pPr>
        <w:pStyle w:val="Heading1"/>
        <w:keepNext/>
        <w:spacing w:after="160" w:before="360" w:line="340" w:lineRule="atLeast"/>
      </w:pPr>
      <w:r>
        <w:rPr>
          <w:rFonts w:ascii="Times New Roman" w:cs="Times New Roman" w:eastAsia="SimSun" w:hAnsi="Times New Roman"/>
          <w:b/>
          <w:bCs/>
          <w:i w:val="false"/>
          <w:iCs w:val="false"/>
          <w:color w:val="000000"/>
          <w:sz w:val="28"/>
          <w:szCs w:val="28"/>
          <w:rtl w:val="false"/>
        </w:rPr>
        <w:t xml:space="preserve">Appendix B. Capsule Schema and Predicate Grammar</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B.1 Capsule JSON Schema (Valid JSON Example)</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listing below is valid JSON — annotations from earlier drafts have been moved into this text. It shows the persisted form of one predicate and one typed fact of a capsule compiled from a service-level agreement clause; provenance and freshness fields are those consumed by Φ_ev at run time, and the tenant identifier participates in the isolation scheme of Section 5.6. Note the separation of concerns in the status fields: kv_meta.status = VERIFIED is the pattern-lifecycle status of Section 5.5 — it states that the pattern's semantics were validated — whereas evidence freshness is checked per binding at run time against valid_until and Δt_max; a capsule can be VERIFIED while one of its facts is stale, in which case the binding check raises HALTED_STALE_EVIDENCE (Theorem 1, Case b). All validity dates in the example post-date the manuscript date (October 2026), so the evidence is current at publication time.</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"doc_id": "sla-msa-2024-071",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"source_type": "CONTRACT",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"tenant_id": "t-oxenn-014",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"t_pub": "2024-07-01T00:00:00Z",</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"axiom_version": "sla-rules@2024-07",</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"predicates":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"id": "p_014",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"subject": {"sym": "$Service", "type": "ENTITY",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"prov": {"src": "p_001", "span": [210, 224]}},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"predicate": "QUALIFIES_FOR_CREDIT",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"object":   {"sym": "$Downtime_Hours", "type": "NUMBER",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"unit": "hours", "prov": {"src": "R.k3"}},</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"condition": "$Downtime_Hours &gt; R.threshold_monthly",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"exception": "EXCL($Cause, [FORCE_MAJEURE, SCHEDULED_MAINT])"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"facts":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"R.k3":  {"value": 4.5, "type": "NUMBER", "unit": "hours",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"valid_until": "2027-07-01", "confidence": 0.98,</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"source": "sla-clause-9.2"},</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"R.threshold_monthly": {"value": 2.0, "type": "NUMBER",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"unit": "hours", "valid_until": "2027-07-01"}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"kv_meta": {"model_id": "qwen2.5-7b@fp8-v3", "layers": 28,</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"rope": "deferred", "status": "VERIFIED"}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bl>
    <w:p>
      <w:pPr>
        <w:keepNext/>
        <w:spacing w:after="80" w:before="200" w:line="300"/>
        <w:jc w:val="center"/>
      </w:pPr>
      <w:r>
        <w:rPr>
          <w:rFonts w:ascii="Times New Roman" w:cs="Times New Roman" w:eastAsia="SimSun" w:hAnsi="Times New Roman"/>
          <w:b/>
          <w:bCs/>
          <w:i w:val="false"/>
          <w:iCs w:val="false"/>
          <w:color w:val="000000"/>
          <w:sz w:val="21"/>
          <w:szCs w:val="21"/>
          <w:rtl w:val="false"/>
        </w:rPr>
        <w:t xml:space="preserve">Table 4. </w:t>
      </w:r>
      <w:r>
        <w:rPr>
          <w:rFonts w:ascii="Times New Roman" w:cs="Times New Roman" w:eastAsia="SimSun" w:hAnsi="Times New Roman"/>
          <w:b w:val="false"/>
          <w:bCs w:val="false"/>
          <w:i w:val="false"/>
          <w:iCs w:val="false"/>
          <w:color w:val="000000"/>
          <w:sz w:val="21"/>
          <w:szCs w:val="21"/>
          <w:rtl w:val="false"/>
        </w:rPr>
        <w:t xml:space="preserve">Declared data types of the capsule symbol table and their run-time checks.</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933"/>
        <w:gridCol w:w="3515"/>
        <w:gridCol w:w="3339"/>
      </w:tblGrid>
      <w:tr>
        <w:trPr>
          <w:cantSplit/>
          <w:tblHeader/>
        </w:trPr>
        <w:tc>
          <w:tcPr>
            <w:tcW w:type="pct" w:w="11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left"/>
            </w:pPr>
            <w:r>
              <w:rPr>
                <w:rFonts w:ascii="Times New Roman" w:cs="Times New Roman" w:eastAsia="SimSun" w:hAnsi="Times New Roman"/>
                <w:b/>
                <w:bCs/>
                <w:i w:val="false"/>
                <w:iCs w:val="false"/>
                <w:color w:val="000000"/>
                <w:sz w:val="18"/>
                <w:szCs w:val="18"/>
                <w:rtl w:val="false"/>
              </w:rPr>
              <w:t xml:space="preserve">Type</w:t>
            </w:r>
          </w:p>
        </w:tc>
        <w:tc>
          <w:tcPr>
            <w:tcW w:type="pct" w:w="20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Value domain</w:t>
            </w:r>
          </w:p>
        </w:tc>
        <w:tc>
          <w:tcPr>
            <w:tcW w:type="pct" w:w="19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spacing w:after="10" w:before="10" w:line="260"/>
              <w:jc w:val="center"/>
            </w:pPr>
            <w:r>
              <w:rPr>
                <w:rFonts w:ascii="Times New Roman" w:cs="Times New Roman" w:eastAsia="SimSun" w:hAnsi="Times New Roman"/>
                <w:b/>
                <w:bCs/>
                <w:i w:val="false"/>
                <w:iCs w:val="false"/>
                <w:color w:val="000000"/>
                <w:sz w:val="18"/>
                <w:szCs w:val="18"/>
                <w:rtl w:val="false"/>
              </w:rPr>
              <w:t xml:space="preserve">Run-time check at binding</w:t>
            </w:r>
          </w:p>
        </w:tc>
      </w:tr>
      <w:tr>
        <w:trPr>
          <w:cantSplit/>
        </w:trPr>
        <w:tc>
          <w:tcPr>
            <w:tcW w:type="pct"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ENTITY</w:t>
            </w:r>
          </w:p>
        </w:tc>
        <w:tc>
          <w:tcPr>
            <w:tcW w:type="pct"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Domain entity identifiers</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Existence in entity index; source whitelisted in Φ_ev</w:t>
            </w:r>
          </w:p>
        </w:tc>
      </w:tr>
      <w:tr>
        <w:trPr>
          <w:cantSplit/>
        </w:trPr>
        <w:tc>
          <w:tcPr>
            <w:tcW w:type="pct"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NUMBER</w:t>
            </w:r>
          </w:p>
        </w:tc>
        <w:tc>
          <w:tcPr>
            <w:tcW w:type="pct"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Numeric quantities with units</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Unit consistency; range bounds; freshness Δt_max</w:t>
            </w:r>
          </w:p>
        </w:tc>
      </w:tr>
      <w:tr>
        <w:trPr>
          <w:cantSplit/>
        </w:trPr>
        <w:tc>
          <w:tcPr>
            <w:tcW w:type="pct"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BOOLEAN</w:t>
            </w:r>
          </w:p>
        </w:tc>
        <w:tc>
          <w:tcPr>
            <w:tcW w:type="pct"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True / false</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Direct; may not shadow an unresolved predicate</w:t>
            </w:r>
          </w:p>
        </w:tc>
      </w:tr>
      <w:tr>
        <w:trPr>
          <w:cantSplit/>
        </w:trPr>
        <w:tc>
          <w:tcPr>
            <w:tcW w:type="pct"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STRING_ENUM</w:t>
            </w:r>
          </w:p>
        </w:tc>
        <w:tc>
          <w:tcPr>
            <w:tcW w:type="pct"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Closed enumeration set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Membership in declared enumeration</w:t>
            </w:r>
          </w:p>
        </w:tc>
      </w:tr>
      <w:tr>
        <w:trPr>
          <w:cantSplit/>
        </w:trPr>
        <w:tc>
          <w:tcPr>
            <w:tcW w:type="pct"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left"/>
            </w:pPr>
            <w:r>
              <w:rPr>
                <w:rFonts w:ascii="Times New Roman" w:cs="Times New Roman" w:eastAsia="SimSun" w:hAnsi="Times New Roman"/>
                <w:b w:val="false"/>
                <w:bCs w:val="false"/>
                <w:i w:val="false"/>
                <w:iCs w:val="false"/>
                <w:color w:val="000000"/>
                <w:sz w:val="18"/>
                <w:szCs w:val="18"/>
                <w:rtl w:val="false"/>
              </w:rPr>
              <w:t xml:space="preserve">TIMESTAMP</w:t>
            </w:r>
          </w:p>
        </w:tc>
        <w:tc>
          <w:tcPr>
            <w:tcW w:type="pct"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ISO-8601 instants</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60"/>
              <w:jc w:val="center"/>
            </w:pPr>
            <w:r>
              <w:rPr>
                <w:rFonts w:ascii="Times New Roman" w:cs="Times New Roman" w:eastAsia="SimSun" w:hAnsi="Times New Roman"/>
                <w:b w:val="false"/>
                <w:bCs w:val="false"/>
                <w:i w:val="false"/>
                <w:iCs w:val="false"/>
                <w:color w:val="000000"/>
                <w:sz w:val="18"/>
                <w:szCs w:val="18"/>
                <w:rtl w:val="false"/>
              </w:rPr>
              <w:t xml:space="preserve">Parse validity; freshness Δt_max against t_now</w:t>
            </w:r>
          </w:p>
        </w:tc>
      </w:tr>
    </w:tbl>
    <w:p>
      <w:pPr>
        <w:spacing w:after="200" w:before="60" w:line="280"/>
        <w:jc w:val="both"/>
      </w:pPr>
      <w:r>
        <w:rPr>
          <w:rFonts w:ascii="Times New Roman" w:cs="Times New Roman" w:eastAsia="SimSun" w:hAnsi="Times New Roman"/>
          <w:b w:val="false"/>
          <w:bCs w:val="false"/>
          <w:i w:val="false"/>
          <w:iCs w:val="false"/>
          <w:color w:val="000000"/>
          <w:sz w:val="18"/>
          <w:szCs w:val="18"/>
          <w:rtl w:val="false"/>
        </w:rPr>
        <w:t xml:space="preserve">A binding that fails its check raises HALTED_TYPE_MISMATCH or HALTED_STALE_EVIDENCE (Theorem 1, Case b); it is never silently coerced.</w:t>
      </w:r>
    </w:p>
    <w:p>
      <w:pPr>
        <w:pStyle w:val="Heading2"/>
        <w:keepNext/>
        <w:spacing w:after="120" w:before="280" w:line="320" w:lineRule="atLeast"/>
      </w:pPr>
      <w:r>
        <w:rPr>
          <w:rFonts w:ascii="Times New Roman" w:cs="Times New Roman" w:eastAsia="SimSun" w:hAnsi="Times New Roman"/>
          <w:b/>
          <w:bCs/>
          <w:i w:val="false"/>
          <w:iCs w:val="false"/>
          <w:color w:val="000000"/>
          <w:sz w:val="26"/>
          <w:szCs w:val="26"/>
          <w:rtl w:val="false"/>
        </w:rPr>
        <w:t xml:space="preserve">B.2 Guarded Predicate Language (EBNF)</w:t>
      </w:r>
    </w:p>
    <w:p>
      <w:pPr>
        <w:keepNext w:val="false"/>
        <w:bidi w:val="false"/>
        <w:spacing w:after="60" w:before="0" w:line="360"/>
        <w:ind w:firstLine="360"/>
        <w:jc w:val="both"/>
      </w:pPr>
      <w:r>
        <w:rPr>
          <w:rFonts w:ascii="Times New Roman" w:cs="Times New Roman" w:eastAsia="SimSun" w:hAnsi="Times New Roman"/>
          <w:b w:val="false"/>
          <w:bCs w:val="false"/>
          <w:i w:val="false"/>
          <w:iCs w:val="false"/>
          <w:color w:val="000000"/>
          <w:sz w:val="24"/>
          <w:szCs w:val="24"/>
          <w:rtl w:val="false"/>
        </w:rPr>
        <w:t xml:space="preserve">The run-time predicate language L_pred is intentionally minimal: no recursion, no unbounded iteration, no user-defined functions. Bounded arithmetic and the EXCL exclusion macro — both used by the B.1 example — are part of the language: arithmetic appears in the comparison layer (rule arith: bounded binary + and − on NUMBER terms), and EXCL is an authoring-time macro over enumerated sets. The grammar below is the one enforced at authoring time by grammar-constrained generation [27] and re-checked statically by the three-colour validator of Section 5.4.</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pred        = expr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expr        = or_expr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or_expr     = and_expr { "OR" and_expr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and_expr    = not_expr { "AND" not_expr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not_expr    = [ "NOT" ] primary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primary     = comparison | "(" 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comparison  = arith ( "==" | "!=" | "&gt;" | "&gt;=" | "&lt;" | "&lt;=" ) arith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 arith "IN" enum_set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 sym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arith       = term { ( "+" | "-" ) term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term        = sym | number | "(" arith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sym         = "$" ident ;                     (* must occur in Sigma_vars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literal     = string | boolean | timestamp | enum_value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enum_set    = "[" enum_value { "," enum_value }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exception   = "EXCL" "(" sym "," enum_set ")" ;  (* authoring macro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constraints enforced statically: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1. every sym occurs in Sigma_vars with a declared type;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2. operand types are comparable; NUMBER comparisons require equal units;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3. arithmetic is restricted to bounded binary + and - on NUMBER (arith);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4. EXCL(sym, set) desugars at authoring time to NOT (sym IN set),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evaluated only when the enclosing condition fires; the static</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validator checks that sym's declared type is that enumeration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(Section 5.4);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5. no recursion, no function abstraction, no I/O primitives. *)</w:t>
            </w:r>
          </w:p>
        </w:tc>
      </w:tr>
    </w:tbl>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SimSun" w:hAnsi="Times New Roman"/>
        <w:sz w:val="20"/>
        <w:szCs w:val="20"/>
      </w:rPr>
      <w:fldChar w:fldCharType="begin"/>
    </w:r>
    <w:r>
      <w:rPr>
        <w:rFonts w:ascii="Times New Roman" w:cs="Times New Roman" w:eastAsia="SimSun" w:hAnsi="Times New Roman"/>
        <w:sz w:val="20"/>
        <w:szCs w:val="20"/>
      </w:rPr>
      <w:instrText xml:space="preserve">PAGE</w:instrText>
    </w:r>
    <w:r>
      <w:rPr>
        <w:rFonts w:ascii="Times New Roman" w:cs="Times New Roman" w:eastAsia="SimSun" w:hAnsi="Times New Roman"/>
        <w:sz w:val="20"/>
        <w:szCs w:val="20"/>
      </w:rPr>
      <w:fldChar w:fldCharType="separate"/>
    </w:r>
    <w:r>
      <w:rPr>
        <w:rFonts w:ascii="Times New Roman" w:cs="Times New Roman" w:eastAsia="SimSu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space="3"/>
      </w:pBdr>
      <w:spacing w:after="0" w:line="240"/>
      <w:jc w:val="center"/>
    </w:pPr>
    <w:r>
      <w:rPr>
        <w:rFonts w:ascii="Times New Roman" w:cs="Times New Roman" w:eastAsia="SimSun" w:hAnsi="Times New Roman"/>
        <w:b w:val="false"/>
        <w:bCs w:val="false"/>
        <w:i/>
        <w:iCs/>
        <w:color w:val="555555"/>
        <w:sz w:val="18"/>
        <w:szCs w:val="18"/>
        <w:rtl w:val="false"/>
      </w:rPr>
      <w:t xml:space="preserve">Symbolically-Compiled Reasoning Serving (SCRS) — M. R. Bagheri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40" w:lineRule="atLeast"/>
    </w:pPr>
    <w:rPr>
      <w:rFonts w:ascii="Times New Roman" w:cs="Times New Roman" w:eastAsia="SimSun" w:hAnsi="Times New Roman"/>
      <w:b/>
      <w:bCs/>
      <w:color w:val="000000"/>
      <w:sz w:val="28"/>
      <w:szCs w:val="28"/>
    </w:rPr>
  </w:style>
  <w:style w:type="paragraph" w:styleId="Heading2">
    <w:name w:val="Heading 2"/>
    <w:basedOn w:val="Normal"/>
    <w:next w:val="Normal"/>
    <w:qFormat/>
    <w:pPr>
      <w:spacing w:after="120" w:before="280" w:line="320" w:lineRule="atLeast"/>
    </w:pPr>
    <w:rPr>
      <w:rFonts w:ascii="Times New Roman" w:cs="Times New Roman" w:eastAsia="SimSun" w:hAnsi="Times New Roman"/>
      <w:b/>
      <w:bCs/>
      <w:color w:val="000000"/>
      <w:sz w:val="26"/>
      <w:szCs w:val="26"/>
    </w:rPr>
  </w:style>
  <w:style w:type="paragraph" w:styleId="Heading3">
    <w:name w:val="Heading 3"/>
    <w:basedOn w:val="Normal"/>
    <w:next w:val="Normal"/>
    <w:qFormat/>
    <w:pPr>
      <w:spacing w:after="100" w:before="220" w:line="300" w:lineRule="atLeast"/>
    </w:pPr>
    <w:rPr>
      <w:rFonts w:ascii="Times New Roman" w:cs="Times New Roman" w:eastAsia="SimSu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473ccf3ade1b7109a771d43936f293fb4aac67b.png"/><Relationship Id="rId10" Type="http://schemas.openxmlformats.org/officeDocument/2006/relationships/image" Target="media/aeb3ce6eae84ebedb4f5312849b3a5f743a95b48.png"/><Relationship Id="rId11" Type="http://schemas.openxmlformats.org/officeDocument/2006/relationships/image" Target="media/bcb7ed189b87ecd7ba44c8f16c47e0a17b5c78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Symbolically-Compiled Reasoning Serving (SCRS)</dc:title>
  <dc:creator>Mohammad Reza Bagheri K.</dc:creator>
  <dc:description>A three-tier neuro-symbolic architecture for deterministic and cost-efficient LLM inference</dc:description>
  <cp:lastModifiedBy>Un-named</cp:lastModifiedBy>
  <cp:revision>1</cp:revision>
  <dcterms:created xsi:type="dcterms:W3CDTF">2026-10-23T16:29:25.761Z</dcterms:created>
  <dcterms:modified xsi:type="dcterms:W3CDTF">2026-10-23T16:29:25.761Z</dcterms:modified>
</cp:coreProperties>
</file>

<file path=docProps/custom.xml><?xml version="1.0" encoding="utf-8"?>
<Properties xmlns="http://schemas.openxmlformats.org/officeDocument/2006/custom-properties" xmlns:vt="http://schemas.openxmlformats.org/officeDocument/2006/docPropsVTypes"/>
</file>