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12 — Пути шахматного короля.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Пути шахматного короля по бесконечной доске с возвращением по пройденным клеткам в обратном порядке: ARRUULBRDDLL.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Набор граничных примеров и контрпримеров, демонстрирующих уточнение языка.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365"/>
        <w:tblGridChange w:id="0">
          <w:tblGrid>
            <w:gridCol w:w="4410"/>
            <w:gridCol w:w="43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Верные примеры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Неверные примеры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ARRUULBRDDLL, ARDLBRUL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ARRUDBLLDU, ALUUDDR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КС-грамматика языка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A={U,D,R,L,A,B}(U-шаг вверх, D-шаг вниз, R-шаг вправо, L-шаг влево, A-начало, B-конец)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&lt;язык&gt; ::= &lt;q0&gt;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&lt;q0&gt; ::= A&lt;q1&gt;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&lt;q1&gt; ::=  U&lt;q1&gt;D | R&lt;q1&gt;L | D&lt;q1&gt;U |L&lt;q1&gt;R |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Грамматический разбор одного примера.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&lt;q0&gt;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AR&lt;q1&gt;L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ARR&lt;q1&gt;LL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ARRU&lt;q1&gt;DLL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ARRUU&lt;q1&gt;DDLL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ARRUUL&lt;q1&gt;RDDLL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ARRUULBRDDLL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того, что грамматика удовлетворяет однозначности ветвления по первому символу (принадлежит классу LL(1)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&lt;q0&gt; ::= A&lt;q1&gt;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L1 = {A}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&lt;q1&gt; ::= U&lt;q1&gt;D | R&lt;q1&gt;L | D&lt;q1&gt;U |L&lt;q1&gt;R |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L2={U}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L3={R}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L4={D}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L5={L}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L7={B}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L2∩L3∩L4∩L5∩L6∩L7={}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360"/>
        <w:contextualSpacing w:val="0"/>
        <w:rPr>
          <w:highlight w:val="white"/>
        </w:rPr>
      </w:pPr>
      <w:r w:rsidDel="00000000" w:rsidR="00000000" w:rsidRPr="00000000">
        <w:rPr>
          <w:i w:val="1"/>
          <w:rtl w:val="0"/>
        </w:rPr>
        <w:t xml:space="preserve">Так как нетерминальные символы не могут начинаться с одинаковых терминальных символов,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исходная грамматика </w:t>
      </w:r>
      <w:r w:rsidDel="00000000" w:rsidR="00000000" w:rsidRPr="00000000">
        <w:rPr>
          <w:highlight w:val="white"/>
          <w:u w:val="single"/>
          <w:rtl w:val="0"/>
        </w:rPr>
        <w:t xml:space="preserve">удовлетворяет</w:t>
      </w:r>
      <w:r w:rsidDel="00000000" w:rsidR="00000000" w:rsidRPr="00000000">
        <w:rPr>
          <w:highlight w:val="white"/>
          <w:rtl w:val="0"/>
        </w:rPr>
        <w:t xml:space="preserve"> однозначности ветвления по первому символу.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Модифицированная грамматика.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Исходная КС-грамматика удовлетворяет условию однозначности ветвления. Модифицировать грамматику не нужно.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Таблица перевода языка в диаграммы.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5"/>
        <w:gridCol w:w="7890"/>
        <w:tblGridChange w:id="0">
          <w:tblGrid>
            <w:gridCol w:w="1125"/>
            <w:gridCol w:w="78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&lt;q0&gt;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267200" cy="619125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&lt;q1&gt;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4867275" cy="3124200"/>
                  <wp:effectExtent b="0" l="0" r="0" t="0"/>
                  <wp:docPr id="3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Таблица перевода синтаксических диаграмм в алгоритм синтаксического анализа.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295"/>
        <w:gridCol w:w="3540"/>
        <w:tblGridChange w:id="0">
          <w:tblGrid>
            <w:gridCol w:w="5295"/>
            <w:gridCol w:w="35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3219450" cy="469900"/>
                  <wp:effectExtent b="0" l="0" r="0" t="0"/>
                  <wp:docPr id="2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procedure CHESS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if ch==’A’ then read(ch) else error;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ACTION;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3219450" cy="2070100"/>
                  <wp:effectExtent b="0" l="0" r="0" t="0"/>
                  <wp:docPr id="4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procedure ACTION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if c==’U’ then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  <w:tab/>
              <w:t xml:space="preserve">read(c) 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</w:t>
              <w:tab/>
              <w:t xml:space="preserve"> ACTION;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  <w:tab/>
              <w:t xml:space="preserve">if c=='D' read(c);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  <w:tab/>
              <w:t xml:space="preserve">else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</w:t>
              <w:tab/>
              <w:t xml:space="preserve">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else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</w:t>
              <w:tab/>
              <w:t xml:space="preserve">if c==’D’ then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read(c) 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q1;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if c=='U' read(c);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else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</w:t>
              <w:tab/>
              <w:t xml:space="preserve">else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if c==’L’ then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read(c) 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ACTION;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if c=='R' read(c);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else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else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if c==’R’ then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</w:t>
              <w:tab/>
              <w:t xml:space="preserve">read(c) 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</w:t>
              <w:tab/>
              <w:t xml:space="preserve">ACTION;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</w:t>
              <w:tab/>
              <w:t xml:space="preserve">if c=='L' read(c);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</w:t>
              <w:tab/>
              <w:t xml:space="preserve">else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  <w:tab/>
              <w:t xml:space="preserve">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else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</w:t>
              <w:tab/>
              <w:t xml:space="preserve">if c!='B'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</w:t>
              <w:tab/>
              <w:t xml:space="preserve">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</w:t>
              <w:tab/>
              <w:t xml:space="preserve">             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  <w:tab/>
              <w:t xml:space="preserve">     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  }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Таблица перевода алгоритма в программу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Visual w:val="0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380"/>
        <w:tblGridChange w:id="0">
          <w:tblGrid>
            <w:gridCol w:w="4395"/>
            <w:gridCol w:w="43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60" w:before="60" w:lineRule="auto"/>
              <w:ind w:left="500" w:hanging="4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procedure CHESS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500" w:hanging="4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500" w:hanging="4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if ch==’A’ then read(ch) else error;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500" w:hanging="4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ACTION;</w:t>
            </w:r>
          </w:p>
          <w:p w:rsidR="00000000" w:rsidDel="00000000" w:rsidP="00000000" w:rsidRDefault="00000000" w:rsidRPr="00000000">
            <w:pPr>
              <w:pBdr/>
              <w:spacing w:after="60" w:before="60" w:line="388.8" w:lineRule="auto"/>
              <w:ind w:left="500" w:hanging="4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q0(char c)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if (c=='A') return true;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else return false;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procedure ACTION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if c==’U’ then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  <w:tab/>
              <w:t xml:space="preserve">read(c) 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</w:t>
              <w:tab/>
              <w:t xml:space="preserve"> ACTION;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  <w:tab/>
              <w:t xml:space="preserve">if c=='D' read(c);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  <w:tab/>
              <w:t xml:space="preserve">else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</w:t>
              <w:tab/>
              <w:t xml:space="preserve">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else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</w:t>
              <w:tab/>
              <w:t xml:space="preserve">if c==’D’ then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read(c) 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q1;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if c=='U' read(c);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else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</w:t>
              <w:tab/>
              <w:t xml:space="preserve">else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if c==’L’ then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read(c) 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ACTION;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if c=='R' read(c);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else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else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if c==’R’ then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</w:t>
              <w:tab/>
              <w:t xml:space="preserve">read(c) 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</w:t>
              <w:tab/>
              <w:t xml:space="preserve">ACTION;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</w:t>
              <w:tab/>
              <w:t xml:space="preserve">if c=='L' read(c);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</w:t>
              <w:tab/>
              <w:t xml:space="preserve">else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  <w:tab/>
              <w:t xml:space="preserve">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  <w:tab/>
              <w:t xml:space="preserve">else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  <w:tab/>
              <w:t xml:space="preserve">{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</w:t>
              <w:tab/>
              <w:t xml:space="preserve">if c!='B' error;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</w:t>
              <w:tab/>
              <w:t xml:space="preserve">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</w:t>
              <w:tab/>
              <w:t xml:space="preserve">             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</w:t>
              <w:tab/>
              <w:t xml:space="preserve">     } </w:t>
            </w:r>
          </w:p>
          <w:p w:rsidR="00000000" w:rsidDel="00000000" w:rsidP="00000000" w:rsidRDefault="00000000" w:rsidRPr="00000000">
            <w:pPr>
              <w:pBdr/>
              <w:spacing w:after="60" w:before="60" w:lineRule="auto"/>
              <w:ind w:left="60" w:firstLine="0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ab/>
              <w:t xml:space="preserve">  }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 q1(char ch1, char ch2)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if (ch1=='L' &amp;&amp; ch2=='R') return true;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(ch1=='R' &amp;&amp; ch2=='L') return true;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else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(ch1=='D' &amp;&amp; ch2=='U') return true;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else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(ch1=='U' &amp;&amp; ch2=='D') return true;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else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if (ch1=='B') return true;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else return false;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pBdr/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Исходный код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990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9900"/>
          <w:highlight w:val="white"/>
          <w:rtl w:val="0"/>
        </w:rPr>
        <w:t xml:space="preserve">#include &lt;cstring&gt;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9900"/>
          <w:highlight w:val="white"/>
          <w:rtl w:val="0"/>
        </w:rPr>
        <w:t xml:space="preserve">#include &lt;windows.h&gt;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q0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q1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string str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menu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SetConsoleCP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1251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SetConsoleOutputCP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1251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menu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f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system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"CLS"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"Задание: Пути шахматного короля по бесконечной доске с возвращением по пройденным клеткам в обратном порядке."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"Правила: A-начало, R-вправо, L-влево, D-вниз, U-вверх, B-конец."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"Вводить символы необходимо строкой"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"Верные примеры: ARRUULBRDDLL, ARDLBRUL."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"Неверные примеры: ARRUDBLLDU, ALUUDDR."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"Введите путь для проверки на корректность:"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l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str.</w:t>
      </w:r>
      <w:r w:rsidDel="00000000" w:rsidR="00000000" w:rsidRPr="00000000">
        <w:rPr>
          <w:rFonts w:ascii="Verdana" w:cs="Verdana" w:eastAsia="Verdana" w:hAnsi="Verdana"/>
          <w:color w:val="007788"/>
          <w:highlight w:val="white"/>
          <w:rtl w:val="0"/>
        </w:rPr>
        <w:t xml:space="preserve">length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800080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, m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i, 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--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    f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q0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    f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q1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,str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"Путь составлен ВЕРНО."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"Путь составлен НЕВЕРНО."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"Путь составлен НЕВЕРНО."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"Введите 0, если хотите выйти из программы, иначе введите любое другое число"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endl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"&gt;"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menu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q0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ch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ch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q1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ch1,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ch2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ch1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'L'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ch2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ch1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ch2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'L'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ch1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ch2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'U'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ch1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'U'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ch2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'D'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ch1</w:t>
      </w:r>
      <w:r w:rsidDel="00000000" w:rsidR="00000000" w:rsidRPr="00000000">
        <w:rPr>
          <w:rFonts w:ascii="Verdana" w:cs="Verdana" w:eastAsia="Verdana" w:hAnsi="Verdana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ff0000"/>
          <w:highlight w:val="white"/>
          <w:rtl w:val="0"/>
        </w:rPr>
        <w:t xml:space="preserve">'B'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highlight w:val="white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00808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hanging="360"/>
        <w:contextualSpacing w:val="1"/>
        <w:rPr>
          <w:sz w:val="22"/>
          <w:szCs w:val="22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acacac"/>
        <w:sz w:val="18"/>
        <w:szCs w:val="18"/>
        <w:u w:val="none"/>
        <w:shd w:fill="f7f7f7" w:val="clear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4.png"/><Relationship Id="rId7" Type="http://schemas.openxmlformats.org/officeDocument/2006/relationships/image" Target="media/image02.png"/><Relationship Id="rId8" Type="http://schemas.openxmlformats.org/officeDocument/2006/relationships/image" Target="media/image05.png"/></Relationships>
</file>