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Åboland-Turunmaa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08:49:39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08:49:39.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Åboland-Turunmaa. Lisäksi tarkastelussa ovat rajanaapurit: Åboland-Turunmaa.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aboland_turunma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77.8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72.4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78.9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101.6</w:t>
            </w:r>
          </w:p>
        </w:tc>
        <w:tc>
          <w:tcPr/>
          <w:p>
            <w:pPr>
              <w:pStyle w:val="Compact"/>
              <w:jc w:val="right"/>
            </w:pPr>
            <w:r>
              <w:t xml:space="preserve">28</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59.4</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69.9</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75.4</w:t>
            </w:r>
          </w:p>
        </w:tc>
        <w:tc>
          <w:tcPr/>
          <w:p>
            <w:pPr>
              <w:pStyle w:val="Compact"/>
              <w:jc w:val="right"/>
            </w:pPr>
            <w:r>
              <w:t xml:space="preserve">63</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88.2</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66.7</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106.3</w:t>
            </w:r>
          </w:p>
        </w:tc>
        <w:tc>
          <w:tcPr/>
          <w:p>
            <w:pPr>
              <w:pStyle w:val="Compact"/>
              <w:jc w:val="right"/>
            </w:pPr>
            <w:r>
              <w:t xml:space="preserve">28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45.6</w:t>
            </w:r>
          </w:p>
        </w:tc>
        <w:tc>
          <w:tcPr/>
          <w:p>
            <w:pPr>
              <w:pStyle w:val="Compact"/>
              <w:jc w:val="right"/>
            </w:pPr>
            <w:r>
              <w:t xml:space="preserve">61</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77.9</w:t>
            </w:r>
          </w:p>
        </w:tc>
        <w:tc>
          <w:tcPr/>
          <w:p>
            <w:pPr>
              <w:pStyle w:val="Compact"/>
              <w:jc w:val="right"/>
            </w:pPr>
            <w:r>
              <w:t xml:space="preserve">50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53.5</w:t>
            </w:r>
          </w:p>
        </w:tc>
        <w:tc>
          <w:tcPr/>
          <w:p>
            <w:pPr>
              <w:pStyle w:val="Compact"/>
              <w:jc w:val="right"/>
            </w:pPr>
            <w:r>
              <w:t xml:space="preserve">60</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50.8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Åboland-Turunmaa (valittu)</w:t>
            </w:r>
          </w:p>
        </w:tc>
        <w:tc>
          <w:tcPr/>
          <w:p>
            <w:pPr>
              <w:pStyle w:val="Compact"/>
              <w:jc w:val="right"/>
            </w:pPr>
            <w:r>
              <w:t xml:space="preserve">166.7</w:t>
            </w:r>
          </w:p>
        </w:tc>
        <w:tc>
          <w:tcPr/>
          <w:p>
            <w:pPr>
              <w:pStyle w:val="Compact"/>
              <w:jc w:val="right"/>
            </w:pPr>
            <w:r>
              <w:t xml:space="preserve">10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25860</w:t>
            </w:r>
          </w:p>
        </w:tc>
        <w:tc>
          <w:tcPr/>
          <w:p>
            <w:pPr>
              <w:pStyle w:val="Compact"/>
              <w:jc w:val="left"/>
            </w:pPr>
            <w:r>
              <w:t xml:space="preserve">Björkboda</w:t>
            </w:r>
          </w:p>
        </w:tc>
        <w:tc>
          <w:tcPr/>
          <w:p>
            <w:pPr>
              <w:pStyle w:val="Compact"/>
              <w:jc w:val="right"/>
            </w:pPr>
            <w:r>
              <w:t xml:space="preserve">135.0</w:t>
            </w:r>
          </w:p>
        </w:tc>
        <w:tc>
          <w:tcPr/>
          <w:p>
            <w:pPr>
              <w:pStyle w:val="Compact"/>
              <w:jc w:val="right"/>
            </w:pPr>
            <w:r>
              <w:t xml:space="preserve">118.3</w:t>
            </w:r>
          </w:p>
        </w:tc>
        <w:tc>
          <w:tcPr/>
          <w:p>
            <w:pPr>
              <w:pStyle w:val="Compact"/>
              <w:jc w:val="right"/>
            </w:pPr>
            <w:r>
              <w:t xml:space="preserve">113.7</w:t>
            </w:r>
          </w:p>
        </w:tc>
        <w:tc>
          <w:tcPr/>
          <w:p>
            <w:pPr>
              <w:pStyle w:val="Compact"/>
              <w:jc w:val="right"/>
            </w:pPr>
            <w:r>
              <w:t xml:space="preserve">164.5</w:t>
            </w:r>
          </w:p>
        </w:tc>
        <w:tc>
          <w:tcPr/>
          <w:p>
            <w:pPr>
              <w:pStyle w:val="Compact"/>
              <w:jc w:val="right"/>
            </w:pPr>
            <w:r>
              <w:t xml:space="preserve">143.7</w:t>
            </w:r>
          </w:p>
        </w:tc>
      </w:tr>
      <w:tr>
        <w:tc>
          <w:tcPr/>
          <w:p>
            <w:pPr>
              <w:pStyle w:val="Compact"/>
              <w:jc w:val="left"/>
            </w:pPr>
            <w:r>
              <w:t xml:space="preserve">25810</w:t>
            </w:r>
          </w:p>
        </w:tc>
        <w:tc>
          <w:tcPr/>
          <w:p>
            <w:pPr>
              <w:pStyle w:val="Compact"/>
              <w:jc w:val="left"/>
            </w:pPr>
            <w:r>
              <w:t xml:space="preserve">Mark</w:t>
            </w:r>
          </w:p>
        </w:tc>
        <w:tc>
          <w:tcPr/>
          <w:p>
            <w:pPr>
              <w:pStyle w:val="Compact"/>
              <w:jc w:val="right"/>
            </w:pPr>
            <w:r>
              <w:t xml:space="preserve">124.1</w:t>
            </w:r>
          </w:p>
        </w:tc>
        <w:tc>
          <w:tcPr/>
          <w:p>
            <w:pPr>
              <w:pStyle w:val="Compact"/>
              <w:jc w:val="right"/>
            </w:pPr>
            <w:r>
              <w:t xml:space="preserve">128.8</w:t>
            </w:r>
          </w:p>
        </w:tc>
        <w:tc>
          <w:tcPr/>
          <w:p>
            <w:pPr>
              <w:pStyle w:val="Compact"/>
              <w:jc w:val="right"/>
            </w:pPr>
            <w:r>
              <w:t xml:space="preserve">107.3</w:t>
            </w:r>
          </w:p>
        </w:tc>
        <w:tc>
          <w:tcPr/>
          <w:p>
            <w:pPr>
              <w:pStyle w:val="Compact"/>
              <w:jc w:val="right"/>
            </w:pPr>
            <w:r>
              <w:t xml:space="preserve">182.4</w:t>
            </w:r>
          </w:p>
        </w:tc>
        <w:tc>
          <w:tcPr/>
          <w:p>
            <w:pPr>
              <w:pStyle w:val="Compact"/>
              <w:jc w:val="right"/>
            </w:pPr>
            <w:r>
              <w:t xml:space="preserve">77.9</w:t>
            </w:r>
          </w:p>
        </w:tc>
      </w:tr>
      <w:tr>
        <w:tc>
          <w:tcPr/>
          <w:p>
            <w:pPr>
              <w:pStyle w:val="Compact"/>
              <w:jc w:val="left"/>
            </w:pPr>
            <w:r>
              <w:t xml:space="preserve">25900</w:t>
            </w:r>
          </w:p>
        </w:tc>
        <w:tc>
          <w:tcPr/>
          <w:p>
            <w:pPr>
              <w:pStyle w:val="Compact"/>
              <w:jc w:val="left"/>
            </w:pPr>
            <w:r>
              <w:t xml:space="preserve">Taalintehdas</w:t>
            </w:r>
          </w:p>
        </w:tc>
        <w:tc>
          <w:tcPr/>
          <w:p>
            <w:pPr>
              <w:pStyle w:val="Compact"/>
              <w:jc w:val="right"/>
            </w:pPr>
            <w:r>
              <w:t xml:space="preserve">123.2</w:t>
            </w:r>
          </w:p>
        </w:tc>
        <w:tc>
          <w:tcPr/>
          <w:p>
            <w:pPr>
              <w:pStyle w:val="Compact"/>
              <w:jc w:val="right"/>
            </w:pPr>
            <w:r>
              <w:t xml:space="preserve">118.6</w:t>
            </w:r>
          </w:p>
        </w:tc>
        <w:tc>
          <w:tcPr/>
          <w:p>
            <w:pPr>
              <w:pStyle w:val="Compact"/>
              <w:jc w:val="right"/>
            </w:pPr>
            <w:r>
              <w:t xml:space="preserve">101.2</w:t>
            </w:r>
          </w:p>
        </w:tc>
        <w:tc>
          <w:tcPr/>
          <w:p>
            <w:pPr>
              <w:pStyle w:val="Compact"/>
              <w:jc w:val="right"/>
            </w:pPr>
            <w:r>
              <w:t xml:space="preserve">117.2</w:t>
            </w:r>
          </w:p>
        </w:tc>
        <w:tc>
          <w:tcPr/>
          <w:p>
            <w:pPr>
              <w:pStyle w:val="Compact"/>
              <w:jc w:val="right"/>
            </w:pPr>
            <w:r>
              <w:t xml:space="preserve">155.7</w:t>
            </w:r>
          </w:p>
        </w:tc>
      </w:tr>
      <w:tr>
        <w:tc>
          <w:tcPr/>
          <w:p>
            <w:pPr>
              <w:pStyle w:val="Compact"/>
              <w:jc w:val="left"/>
            </w:pPr>
            <w:r>
              <w:t xml:space="preserve">25940</w:t>
            </w:r>
          </w:p>
        </w:tc>
        <w:tc>
          <w:tcPr/>
          <w:p>
            <w:pPr>
              <w:pStyle w:val="Compact"/>
              <w:jc w:val="left"/>
            </w:pPr>
            <w:r>
              <w:t xml:space="preserve">Hiittinen</w:t>
            </w:r>
          </w:p>
        </w:tc>
        <w:tc>
          <w:tcPr/>
          <w:p>
            <w:pPr>
              <w:pStyle w:val="Compact"/>
              <w:jc w:val="right"/>
            </w:pPr>
            <w:r>
              <w:t xml:space="preserve">111.0</w:t>
            </w:r>
          </w:p>
        </w:tc>
        <w:tc>
          <w:tcPr/>
          <w:p>
            <w:pPr>
              <w:pStyle w:val="Compact"/>
              <w:jc w:val="right"/>
            </w:pPr>
            <w:r>
              <w:t xml:space="preserve">127.0</w:t>
            </w:r>
          </w:p>
        </w:tc>
        <w:tc>
          <w:tcPr/>
          <w:p>
            <w:pPr>
              <w:pStyle w:val="Compact"/>
              <w:jc w:val="right"/>
            </w:pPr>
            <w:r>
              <w:t xml:space="preserve">110.3</w:t>
            </w:r>
          </w:p>
        </w:tc>
        <w:tc>
          <w:tcPr/>
          <w:p>
            <w:pPr>
              <w:pStyle w:val="Compact"/>
              <w:jc w:val="right"/>
            </w:pPr>
            <w:r>
              <w:t xml:space="preserve">90.7</w:t>
            </w:r>
          </w:p>
        </w:tc>
        <w:tc>
          <w:tcPr/>
          <w:p>
            <w:pPr>
              <w:pStyle w:val="Compact"/>
              <w:jc w:val="right"/>
            </w:pPr>
            <w:r>
              <w:t xml:space="preserve">116.0</w:t>
            </w:r>
          </w:p>
        </w:tc>
      </w:tr>
      <w:tr>
        <w:tc>
          <w:tcPr/>
          <w:p>
            <w:pPr>
              <w:pStyle w:val="Compact"/>
              <w:jc w:val="left"/>
            </w:pPr>
            <w:r>
              <w:t xml:space="preserve">25760</w:t>
            </w:r>
          </w:p>
        </w:tc>
        <w:tc>
          <w:tcPr/>
          <w:p>
            <w:pPr>
              <w:pStyle w:val="Compact"/>
              <w:jc w:val="left"/>
            </w:pPr>
            <w:r>
              <w:t xml:space="preserve">Kiila</w:t>
            </w:r>
          </w:p>
        </w:tc>
        <w:tc>
          <w:tcPr/>
          <w:p>
            <w:pPr>
              <w:pStyle w:val="Compact"/>
              <w:jc w:val="right"/>
            </w:pPr>
            <w:r>
              <w:t xml:space="preserve">108.6</w:t>
            </w:r>
          </w:p>
        </w:tc>
        <w:tc>
          <w:tcPr/>
          <w:p>
            <w:pPr>
              <w:pStyle w:val="Compact"/>
              <w:jc w:val="right"/>
            </w:pPr>
            <w:r>
              <w:t xml:space="preserve">103.4</w:t>
            </w:r>
          </w:p>
        </w:tc>
        <w:tc>
          <w:tcPr/>
          <w:p>
            <w:pPr>
              <w:pStyle w:val="Compact"/>
              <w:jc w:val="right"/>
            </w:pPr>
            <w:r>
              <w:t xml:space="preserve">128.1</w:t>
            </w:r>
          </w:p>
        </w:tc>
        <w:tc>
          <w:tcPr/>
          <w:p>
            <w:pPr>
              <w:pStyle w:val="Compact"/>
              <w:jc w:val="right"/>
            </w:pPr>
            <w:r>
              <w:t xml:space="preserve">106.4</w:t>
            </w:r>
          </w:p>
        </w:tc>
        <w:tc>
          <w:tcPr/>
          <w:p>
            <w:pPr>
              <w:pStyle w:val="Compact"/>
              <w:jc w:val="right"/>
            </w:pPr>
            <w:r>
              <w:t xml:space="preserve">96.4</w:t>
            </w:r>
          </w:p>
        </w:tc>
      </w:tr>
      <w:tr>
        <w:tc>
          <w:tcPr/>
          <w:p>
            <w:pPr>
              <w:pStyle w:val="Compact"/>
              <w:jc w:val="left"/>
            </w:pPr>
            <w:r>
              <w:t xml:space="preserve">25950</w:t>
            </w:r>
          </w:p>
        </w:tc>
        <w:tc>
          <w:tcPr/>
          <w:p>
            <w:pPr>
              <w:pStyle w:val="Compact"/>
              <w:jc w:val="left"/>
            </w:pPr>
            <w:r>
              <w:t xml:space="preserve">Rosala-Kasnäs-Hitis</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106.1</w:t>
            </w:r>
          </w:p>
        </w:tc>
        <w:tc>
          <w:tcPr/>
          <w:p>
            <w:pPr>
              <w:pStyle w:val="Compact"/>
              <w:jc w:val="right"/>
            </w:pPr>
            <w:r>
              <w:t xml:space="preserve">118.2</w:t>
            </w:r>
          </w:p>
        </w:tc>
        <w:tc>
          <w:tcPr/>
          <w:p>
            <w:pPr>
              <w:pStyle w:val="Compact"/>
              <w:jc w:val="right"/>
            </w:pPr>
            <w:r>
              <w:t xml:space="preserve">114.2</w:t>
            </w:r>
          </w:p>
        </w:tc>
      </w:tr>
      <w:tr>
        <w:tc>
          <w:tcPr/>
          <w:p>
            <w:pPr>
              <w:pStyle w:val="Compact"/>
              <w:jc w:val="left"/>
            </w:pPr>
            <w:r>
              <w:t xml:space="preserve">25650</w:t>
            </w:r>
          </w:p>
        </w:tc>
        <w:tc>
          <w:tcPr/>
          <w:p>
            <w:pPr>
              <w:pStyle w:val="Compact"/>
              <w:jc w:val="left"/>
            </w:pPr>
            <w:r>
              <w:t xml:space="preserve">Strömma</w:t>
            </w:r>
          </w:p>
        </w:tc>
        <w:tc>
          <w:tcPr/>
          <w:p>
            <w:pPr>
              <w:pStyle w:val="Compact"/>
              <w:jc w:val="right"/>
            </w:pPr>
            <w:r>
              <w:t xml:space="preserve">104.7</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101.8</w:t>
            </w:r>
          </w:p>
        </w:tc>
        <w:tc>
          <w:tcPr/>
          <w:p>
            <w:pPr>
              <w:pStyle w:val="Compact"/>
              <w:jc w:val="right"/>
            </w:pPr>
            <w:r>
              <w:t xml:space="preserve">105.9</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103.5</w:t>
            </w:r>
          </w:p>
        </w:tc>
        <w:tc>
          <w:tcPr/>
          <w:p>
            <w:pPr>
              <w:pStyle w:val="Compact"/>
              <w:jc w:val="right"/>
            </w:pPr>
            <w:r>
              <w:t xml:space="preserve">108.0</w:t>
            </w:r>
          </w:p>
        </w:tc>
        <w:tc>
          <w:tcPr/>
          <w:p>
            <w:pPr>
              <w:pStyle w:val="Compact"/>
              <w:jc w:val="right"/>
            </w:pPr>
            <w:r>
              <w:t xml:space="preserve">101.4</w:t>
            </w:r>
          </w:p>
        </w:tc>
        <w:tc>
          <w:tcPr/>
          <w:p>
            <w:pPr>
              <w:pStyle w:val="Compact"/>
              <w:jc w:val="right"/>
            </w:pPr>
            <w:r>
              <w:t xml:space="preserve">121.0</w:t>
            </w:r>
          </w:p>
        </w:tc>
        <w:tc>
          <w:tcPr/>
          <w:p>
            <w:pPr>
              <w:pStyle w:val="Compact"/>
              <w:jc w:val="right"/>
            </w:pPr>
            <w:r>
              <w:t xml:space="preserve">83.7</w:t>
            </w:r>
          </w:p>
        </w:tc>
      </w:tr>
      <w:tr>
        <w:tc>
          <w:tcPr/>
          <w:p>
            <w:pPr>
              <w:pStyle w:val="Compact"/>
              <w:jc w:val="left"/>
            </w:pPr>
            <w:r>
              <w:t xml:space="preserve">25700</w:t>
            </w:r>
          </w:p>
        </w:tc>
        <w:tc>
          <w:tcPr/>
          <w:p>
            <w:pPr>
              <w:pStyle w:val="Compact"/>
              <w:jc w:val="left"/>
            </w:pPr>
            <w:r>
              <w:t xml:space="preserve">Kemiö Keskus</w:t>
            </w:r>
          </w:p>
        </w:tc>
        <w:tc>
          <w:tcPr/>
          <w:p>
            <w:pPr>
              <w:pStyle w:val="Compact"/>
              <w:jc w:val="right"/>
            </w:pPr>
            <w:r>
              <w:t xml:space="preserve">98.4</w:t>
            </w:r>
          </w:p>
        </w:tc>
        <w:tc>
          <w:tcPr/>
          <w:p>
            <w:pPr>
              <w:pStyle w:val="Compact"/>
              <w:jc w:val="right"/>
            </w:pPr>
            <w:r>
              <w:t xml:space="preserve">107.7</w:t>
            </w:r>
          </w:p>
        </w:tc>
        <w:tc>
          <w:tcPr/>
          <w:p>
            <w:pPr>
              <w:pStyle w:val="Compact"/>
              <w:jc w:val="right"/>
            </w:pPr>
            <w:r>
              <w:t xml:space="preserve">94.6</w:t>
            </w:r>
          </w:p>
        </w:tc>
        <w:tc>
          <w:tcPr/>
          <w:p>
            <w:pPr>
              <w:pStyle w:val="Compact"/>
              <w:jc w:val="right"/>
            </w:pPr>
            <w:r>
              <w:t xml:space="preserve">80.6</w:t>
            </w:r>
          </w:p>
        </w:tc>
        <w:tc>
          <w:tcPr/>
          <w:p>
            <w:pPr>
              <w:pStyle w:val="Compact"/>
              <w:jc w:val="right"/>
            </w:pPr>
            <w:r>
              <w:t xml:space="preserve">110.7</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95.4</w:t>
            </w:r>
          </w:p>
        </w:tc>
        <w:tc>
          <w:tcPr/>
          <w:p>
            <w:pPr>
              <w:pStyle w:val="Compact"/>
              <w:jc w:val="right"/>
            </w:pPr>
            <w:r>
              <w:t xml:space="preserve">91.9</w:t>
            </w:r>
          </w:p>
        </w:tc>
        <w:tc>
          <w:tcPr/>
          <w:p>
            <w:pPr>
              <w:pStyle w:val="Compact"/>
              <w:jc w:val="right"/>
            </w:pPr>
            <w:r>
              <w:t xml:space="preserve">105.2</w:t>
            </w:r>
          </w:p>
        </w:tc>
        <w:tc>
          <w:tcPr/>
          <w:p>
            <w:pPr>
              <w:pStyle w:val="Compact"/>
              <w:jc w:val="right"/>
            </w:pPr>
            <w:r>
              <w:t xml:space="preserve">55.6</w:t>
            </w:r>
          </w:p>
        </w:tc>
        <w:tc>
          <w:tcPr/>
          <w:p>
            <w:pPr>
              <w:pStyle w:val="Compact"/>
              <w:jc w:val="right"/>
            </w:pPr>
            <w:r>
              <w:t xml:space="preserve">128.7</w:t>
            </w:r>
          </w:p>
        </w:tc>
      </w:tr>
      <w:tr>
        <w:tc>
          <w:tcPr/>
          <w:p>
            <w:pPr>
              <w:pStyle w:val="Compact"/>
              <w:jc w:val="left"/>
            </w:pPr>
            <w:r>
              <w:t xml:space="preserve">25870</w:t>
            </w:r>
          </w:p>
        </w:tc>
        <w:tc>
          <w:tcPr/>
          <w:p>
            <w:pPr>
              <w:pStyle w:val="Compact"/>
              <w:jc w:val="left"/>
            </w:pPr>
            <w:r>
              <w:t xml:space="preserve">Dragsfjärd</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93.1</w:t>
            </w:r>
          </w:p>
        </w:tc>
        <w:tc>
          <w:tcPr/>
          <w:p>
            <w:pPr>
              <w:pStyle w:val="Compact"/>
              <w:jc w:val="right"/>
            </w:pPr>
            <w:r>
              <w:t xml:space="preserve">65.1</w:t>
            </w:r>
          </w:p>
        </w:tc>
        <w:tc>
          <w:tcPr/>
          <w:p>
            <w:pPr>
              <w:pStyle w:val="Compact"/>
              <w:jc w:val="right"/>
            </w:pPr>
            <w:r>
              <w:t xml:space="preserve">124.6</w:t>
            </w:r>
          </w:p>
        </w:tc>
      </w:tr>
      <w:tr>
        <w:tc>
          <w:tcPr/>
          <w:p>
            <w:pPr>
              <w:pStyle w:val="Compact"/>
              <w:jc w:val="left"/>
            </w:pPr>
            <w:r>
              <w:t xml:space="preserve">25930</w:t>
            </w:r>
          </w:p>
        </w:tc>
        <w:tc>
          <w:tcPr/>
          <w:p>
            <w:pPr>
              <w:pStyle w:val="Compact"/>
              <w:jc w:val="left"/>
            </w:pPr>
            <w:r>
              <w:t xml:space="preserve">Kasnäs</w:t>
            </w:r>
          </w:p>
        </w:tc>
        <w:tc>
          <w:tcPr/>
          <w:p>
            <w:pPr>
              <w:pStyle w:val="Compact"/>
              <w:jc w:val="right"/>
            </w:pPr>
            <w:r>
              <w:t xml:space="preserve">92.9</w:t>
            </w:r>
          </w:p>
        </w:tc>
        <w:tc>
          <w:tcPr/>
          <w:p>
            <w:pPr>
              <w:pStyle w:val="Compact"/>
              <w:jc w:val="right"/>
            </w:pPr>
            <w:r>
              <w:t xml:space="preserve">74.9</w:t>
            </w:r>
          </w:p>
        </w:tc>
        <w:tc>
          <w:tcPr/>
          <w:p>
            <w:pPr>
              <w:pStyle w:val="Compact"/>
              <w:jc w:val="right"/>
            </w:pPr>
            <w:r>
              <w:t xml:space="preserve">130.9</w:t>
            </w:r>
          </w:p>
        </w:tc>
        <w:tc>
          <w:tcPr/>
          <w:p>
            <w:pPr>
              <w:pStyle w:val="Compact"/>
              <w:jc w:val="right"/>
            </w:pPr>
            <w:r>
              <w:t xml:space="preserve">46.4</w:t>
            </w:r>
          </w:p>
        </w:tc>
        <w:tc>
          <w:tcPr/>
          <w:p>
            <w:pPr>
              <w:pStyle w:val="Compact"/>
              <w:jc w:val="right"/>
            </w:pPr>
            <w:r>
              <w:t xml:space="preserve">119.5</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90.6</w:t>
            </w:r>
          </w:p>
        </w:tc>
        <w:tc>
          <w:tcPr/>
          <w:p>
            <w:pPr>
              <w:pStyle w:val="Compact"/>
              <w:jc w:val="right"/>
            </w:pPr>
            <w:r>
              <w:t xml:space="preserve">92.4</w:t>
            </w:r>
          </w:p>
        </w:tc>
        <w:tc>
          <w:tcPr/>
          <w:p>
            <w:pPr>
              <w:pStyle w:val="Compact"/>
              <w:jc w:val="right"/>
            </w:pPr>
            <w:r>
              <w:t xml:space="preserve">81.7</w:t>
            </w:r>
          </w:p>
        </w:tc>
        <w:tc>
          <w:tcPr/>
          <w:p>
            <w:pPr>
              <w:pStyle w:val="Compact"/>
              <w:jc w:val="right"/>
            </w:pPr>
            <w:r>
              <w:t xml:space="preserve">81.9</w:t>
            </w:r>
          </w:p>
        </w:tc>
        <w:tc>
          <w:tcPr/>
          <w:p>
            <w:pPr>
              <w:pStyle w:val="Compact"/>
              <w:jc w:val="right"/>
            </w:pPr>
            <w:r>
              <w:t xml:space="preserve">106.4</w:t>
            </w:r>
          </w:p>
        </w:tc>
      </w:tr>
      <w:tr>
        <w:tc>
          <w:tcPr/>
          <w:p>
            <w:pPr>
              <w:pStyle w:val="Compact"/>
              <w:jc w:val="left"/>
            </w:pPr>
            <w:r>
              <w:t xml:space="preserve">25730</w:t>
            </w:r>
          </w:p>
        </w:tc>
        <w:tc>
          <w:tcPr/>
          <w:p>
            <w:pPr>
              <w:pStyle w:val="Compact"/>
              <w:jc w:val="left"/>
            </w:pPr>
            <w:r>
              <w:t xml:space="preserve">Mjösund</w:t>
            </w:r>
          </w:p>
        </w:tc>
        <w:tc>
          <w:tcPr/>
          <w:p>
            <w:pPr>
              <w:pStyle w:val="Compact"/>
              <w:jc w:val="right"/>
            </w:pPr>
            <w:r>
              <w:t xml:space="preserve">88.9</w:t>
            </w:r>
          </w:p>
        </w:tc>
        <w:tc>
          <w:tcPr/>
          <w:p>
            <w:pPr>
              <w:pStyle w:val="Compact"/>
              <w:jc w:val="right"/>
            </w:pPr>
            <w:r>
              <w:t xml:space="preserve">76.8</w:t>
            </w:r>
          </w:p>
        </w:tc>
        <w:tc>
          <w:tcPr/>
          <w:p>
            <w:pPr>
              <w:pStyle w:val="Compact"/>
              <w:jc w:val="right"/>
            </w:pPr>
            <w:r>
              <w:t xml:space="preserve">108.9</w:t>
            </w:r>
          </w:p>
        </w:tc>
        <w:tc>
          <w:tcPr/>
          <w:p>
            <w:pPr>
              <w:pStyle w:val="Compact"/>
              <w:jc w:val="right"/>
            </w:pPr>
            <w:r>
              <w:t xml:space="preserve">67.1</w:t>
            </w:r>
          </w:p>
        </w:tc>
        <w:tc>
          <w:tcPr/>
          <w:p>
            <w:pPr>
              <w:pStyle w:val="Compact"/>
              <w:jc w:val="right"/>
            </w:pPr>
            <w:r>
              <w:t xml:space="preserve">102.7</w:t>
            </w:r>
          </w:p>
        </w:tc>
      </w:tr>
      <w:tr>
        <w:tc>
          <w:tcPr/>
          <w:p>
            <w:pPr>
              <w:pStyle w:val="Compact"/>
              <w:jc w:val="left"/>
            </w:pPr>
            <w:r>
              <w:t xml:space="preserve">25710</w:t>
            </w:r>
          </w:p>
        </w:tc>
        <w:tc>
          <w:tcPr/>
          <w:p>
            <w:pPr>
              <w:pStyle w:val="Compact"/>
              <w:jc w:val="left"/>
            </w:pPr>
            <w:r>
              <w:t xml:space="preserve">Vreta-Vestlax</w:t>
            </w:r>
          </w:p>
        </w:tc>
        <w:tc>
          <w:tcPr/>
          <w:p>
            <w:pPr>
              <w:pStyle w:val="Compact"/>
              <w:jc w:val="right"/>
            </w:pPr>
            <w:r>
              <w:t xml:space="preserve">87.6</w:t>
            </w:r>
          </w:p>
        </w:tc>
        <w:tc>
          <w:tcPr/>
          <w:p>
            <w:pPr>
              <w:pStyle w:val="Compact"/>
              <w:jc w:val="right"/>
            </w:pPr>
            <w:r>
              <w:t xml:space="preserve">107.3</w:t>
            </w:r>
          </w:p>
        </w:tc>
        <w:tc>
          <w:tcPr/>
          <w:p>
            <w:pPr>
              <w:pStyle w:val="Compact"/>
              <w:jc w:val="right"/>
            </w:pPr>
            <w:r>
              <w:t xml:space="preserve">103.6</w:t>
            </w:r>
          </w:p>
        </w:tc>
        <w:tc>
          <w:tcPr/>
          <w:p>
            <w:pPr>
              <w:pStyle w:val="Compact"/>
              <w:jc w:val="right"/>
            </w:pPr>
            <w:r>
              <w:t xml:space="preserve">62.8</w:t>
            </w:r>
          </w:p>
        </w:tc>
        <w:tc>
          <w:tcPr/>
          <w:p>
            <w:pPr>
              <w:pStyle w:val="Compact"/>
              <w:jc w:val="right"/>
            </w:pPr>
            <w:r>
              <w:t xml:space="preserve">76.8</w:t>
            </w:r>
          </w:p>
        </w:tc>
      </w:tr>
      <w:tr>
        <w:tc>
          <w:tcPr/>
          <w:p>
            <w:pPr>
              <w:pStyle w:val="Compact"/>
              <w:jc w:val="left"/>
            </w:pPr>
            <w:r>
              <w:t xml:space="preserve">25840</w:t>
            </w:r>
          </w:p>
        </w:tc>
        <w:tc>
          <w:tcPr/>
          <w:p>
            <w:pPr>
              <w:pStyle w:val="Compact"/>
              <w:jc w:val="left"/>
            </w:pPr>
            <w:r>
              <w:t xml:space="preserve">Nivelax</w:t>
            </w:r>
          </w:p>
        </w:tc>
        <w:tc>
          <w:tcPr/>
          <w:p>
            <w:pPr>
              <w:pStyle w:val="Compact"/>
              <w:jc w:val="right"/>
            </w:pPr>
            <w:r>
              <w:t xml:space="preserve">87.1</w:t>
            </w:r>
          </w:p>
        </w:tc>
        <w:tc>
          <w:tcPr/>
          <w:p>
            <w:pPr>
              <w:pStyle w:val="Compact"/>
              <w:jc w:val="right"/>
            </w:pPr>
            <w:r>
              <w:t xml:space="preserve">75.4</w:t>
            </w:r>
          </w:p>
        </w:tc>
        <w:tc>
          <w:tcPr/>
          <w:p>
            <w:pPr>
              <w:pStyle w:val="Compact"/>
              <w:jc w:val="right"/>
            </w:pPr>
            <w:r>
              <w:t xml:space="preserve">92.3</w:t>
            </w:r>
          </w:p>
        </w:tc>
        <w:tc>
          <w:tcPr/>
          <w:p>
            <w:pPr>
              <w:pStyle w:val="Compact"/>
              <w:jc w:val="right"/>
            </w:pPr>
            <w:r>
              <w:t xml:space="preserve">87.8</w:t>
            </w:r>
          </w:p>
        </w:tc>
        <w:tc>
          <w:tcPr/>
          <w:p>
            <w:pPr>
              <w:pStyle w:val="Compact"/>
              <w:jc w:val="right"/>
            </w:pPr>
            <w:r>
              <w:t xml:space="preserve">92.9</w:t>
            </w:r>
          </w:p>
        </w:tc>
      </w:tr>
      <w:tr>
        <w:tc>
          <w:tcPr/>
          <w:p>
            <w:pPr>
              <w:pStyle w:val="Compact"/>
              <w:jc w:val="left"/>
            </w:pPr>
            <w:r>
              <w:t xml:space="preserve">25830</w:t>
            </w:r>
          </w:p>
        </w:tc>
        <w:tc>
          <w:tcPr/>
          <w:p>
            <w:pPr>
              <w:pStyle w:val="Compact"/>
              <w:jc w:val="left"/>
            </w:pPr>
            <w:r>
              <w:t xml:space="preserve">Västanfjärd Keskus</w:t>
            </w:r>
          </w:p>
        </w:tc>
        <w:tc>
          <w:tcPr/>
          <w:p>
            <w:pPr>
              <w:pStyle w:val="Compact"/>
              <w:jc w:val="right"/>
            </w:pPr>
            <w:r>
              <w:t xml:space="preserve">86.4</w:t>
            </w:r>
          </w:p>
        </w:tc>
        <w:tc>
          <w:tcPr/>
          <w:p>
            <w:pPr>
              <w:pStyle w:val="Compact"/>
              <w:jc w:val="right"/>
            </w:pPr>
            <w:r>
              <w:t xml:space="preserve">88.0</w:t>
            </w:r>
          </w:p>
        </w:tc>
        <w:tc>
          <w:tcPr/>
          <w:p>
            <w:pPr>
              <w:pStyle w:val="Compact"/>
              <w:jc w:val="right"/>
            </w:pPr>
            <w:r>
              <w:t xml:space="preserve">88.0</w:t>
            </w:r>
          </w:p>
        </w:tc>
        <w:tc>
          <w:tcPr/>
          <w:p>
            <w:pPr>
              <w:pStyle w:val="Compact"/>
              <w:jc w:val="right"/>
            </w:pPr>
            <w:r>
              <w:t xml:space="preserve">68.3</w:t>
            </w:r>
          </w:p>
        </w:tc>
        <w:tc>
          <w:tcPr/>
          <w:p>
            <w:pPr>
              <w:pStyle w:val="Compact"/>
              <w:jc w:val="right"/>
            </w:pPr>
            <w:r>
              <w:t xml:space="preserve">101.1</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85.8</w:t>
            </w:r>
          </w:p>
        </w:tc>
        <w:tc>
          <w:tcPr/>
          <w:p>
            <w:pPr>
              <w:pStyle w:val="Compact"/>
              <w:jc w:val="right"/>
            </w:pPr>
            <w:r>
              <w:t xml:space="preserve">118.5</w:t>
            </w:r>
          </w:p>
        </w:tc>
        <w:tc>
          <w:tcPr/>
          <w:p>
            <w:pPr>
              <w:pStyle w:val="Compact"/>
              <w:jc w:val="right"/>
            </w:pPr>
            <w:r>
              <w:t xml:space="preserve">105.2</w:t>
            </w:r>
          </w:p>
        </w:tc>
        <w:tc>
          <w:tcPr/>
          <w:p>
            <w:pPr>
              <w:pStyle w:val="Compact"/>
              <w:jc w:val="right"/>
            </w:pPr>
            <w:r>
              <w:t xml:space="preserve">29.8</w:t>
            </w:r>
          </w:p>
        </w:tc>
        <w:tc>
          <w:tcPr/>
          <w:p>
            <w:pPr>
              <w:pStyle w:val="Compact"/>
              <w:jc w:val="right"/>
            </w:pPr>
            <w:r>
              <w:t xml:space="preserve">89.6</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84.3</w:t>
            </w:r>
          </w:p>
        </w:tc>
        <w:tc>
          <w:tcPr/>
          <w:p>
            <w:pPr>
              <w:pStyle w:val="Compact"/>
              <w:jc w:val="right"/>
            </w:pPr>
            <w:r>
              <w:t xml:space="preserve">84.8</w:t>
            </w:r>
          </w:p>
        </w:tc>
        <w:tc>
          <w:tcPr/>
          <w:p>
            <w:pPr>
              <w:pStyle w:val="Compact"/>
              <w:jc w:val="right"/>
            </w:pPr>
            <w:r>
              <w:t xml:space="preserve">92.9</w:t>
            </w:r>
          </w:p>
        </w:tc>
        <w:tc>
          <w:tcPr/>
          <w:p>
            <w:pPr>
              <w:pStyle w:val="Compact"/>
              <w:jc w:val="right"/>
            </w:pPr>
            <w:r>
              <w:t xml:space="preserve">36.7</w:t>
            </w:r>
          </w:p>
        </w:tc>
        <w:tc>
          <w:tcPr/>
          <w:p>
            <w:pPr>
              <w:pStyle w:val="Compact"/>
              <w:jc w:val="right"/>
            </w:pPr>
            <w:r>
              <w:t xml:space="preserve">122.6</w:t>
            </w:r>
          </w:p>
        </w:tc>
      </w:tr>
      <w:tr>
        <w:tc>
          <w:tcPr/>
          <w:p>
            <w:pPr>
              <w:pStyle w:val="Compact"/>
              <w:jc w:val="left"/>
            </w:pPr>
            <w:r>
              <w:t xml:space="preserve">25960</w:t>
            </w:r>
          </w:p>
        </w:tc>
        <w:tc>
          <w:tcPr/>
          <w:p>
            <w:pPr>
              <w:pStyle w:val="Compact"/>
              <w:jc w:val="left"/>
            </w:pPr>
            <w:r>
              <w:t xml:space="preserve">Högsåra</w:t>
            </w:r>
          </w:p>
        </w:tc>
        <w:tc>
          <w:tcPr/>
          <w:p>
            <w:pPr>
              <w:pStyle w:val="Compact"/>
              <w:jc w:val="right"/>
            </w:pPr>
            <w:r>
              <w:t xml:space="preserve">84.2</w:t>
            </w:r>
          </w:p>
        </w:tc>
        <w:tc>
          <w:tcPr/>
          <w:p>
            <w:pPr>
              <w:pStyle w:val="Compact"/>
              <w:jc w:val="right"/>
            </w:pPr>
            <w:r>
              <w:t xml:space="preserve">NA</w:t>
            </w:r>
          </w:p>
        </w:tc>
        <w:tc>
          <w:tcPr/>
          <w:p>
            <w:pPr>
              <w:pStyle w:val="Compact"/>
              <w:jc w:val="right"/>
            </w:pPr>
            <w:r>
              <w:t xml:space="preserve">78.9</w:t>
            </w:r>
          </w:p>
        </w:tc>
        <w:tc>
          <w:tcPr/>
          <w:p>
            <w:pPr>
              <w:pStyle w:val="Compact"/>
              <w:jc w:val="right"/>
            </w:pPr>
            <w:r>
              <w:t xml:space="preserve">NA</w:t>
            </w:r>
          </w:p>
        </w:tc>
        <w:tc>
          <w:tcPr/>
          <w:p>
            <w:pPr>
              <w:pStyle w:val="Compact"/>
              <w:jc w:val="right"/>
            </w:pPr>
            <w:r>
              <w:t xml:space="preserve">89.4</w:t>
            </w:r>
          </w:p>
        </w:tc>
      </w:tr>
      <w:tr>
        <w:tc>
          <w:tcPr/>
          <w:p>
            <w:pPr>
              <w:pStyle w:val="Compact"/>
              <w:jc w:val="left"/>
            </w:pPr>
            <w:r>
              <w:t xml:space="preserve">25820</w:t>
            </w:r>
          </w:p>
        </w:tc>
        <w:tc>
          <w:tcPr/>
          <w:p>
            <w:pPr>
              <w:pStyle w:val="Compact"/>
              <w:jc w:val="left"/>
            </w:pPr>
            <w:r>
              <w:t xml:space="preserve">Vestlax</w:t>
            </w:r>
          </w:p>
        </w:tc>
        <w:tc>
          <w:tcPr/>
          <w:p>
            <w:pPr>
              <w:pStyle w:val="Compact"/>
              <w:jc w:val="right"/>
            </w:pPr>
            <w:r>
              <w:t xml:space="preserve">78.9</w:t>
            </w:r>
          </w:p>
        </w:tc>
        <w:tc>
          <w:tcPr/>
          <w:p>
            <w:pPr>
              <w:pStyle w:val="Compact"/>
              <w:jc w:val="right"/>
            </w:pPr>
            <w:r>
              <w:t xml:space="preserve">76.2</w:t>
            </w:r>
          </w:p>
        </w:tc>
        <w:tc>
          <w:tcPr/>
          <w:p>
            <w:pPr>
              <w:pStyle w:val="Compact"/>
              <w:jc w:val="right"/>
            </w:pPr>
            <w:r>
              <w:t xml:space="preserve">86.8</w:t>
            </w:r>
          </w:p>
        </w:tc>
        <w:tc>
          <w:tcPr/>
          <w:p>
            <w:pPr>
              <w:pStyle w:val="Compact"/>
              <w:jc w:val="right"/>
            </w:pPr>
            <w:r>
              <w:t xml:space="preserve">81.3</w:t>
            </w:r>
          </w:p>
        </w:tc>
        <w:tc>
          <w:tcPr/>
          <w:p>
            <w:pPr>
              <w:pStyle w:val="Compact"/>
              <w:jc w:val="right"/>
            </w:pPr>
            <w:r>
              <w:t xml:space="preserve">71.3</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78.3</w:t>
            </w:r>
          </w:p>
        </w:tc>
        <w:tc>
          <w:tcPr/>
          <w:p>
            <w:pPr>
              <w:pStyle w:val="Compact"/>
              <w:jc w:val="right"/>
            </w:pPr>
            <w:r>
              <w:t xml:space="preserve">80.6</w:t>
            </w:r>
          </w:p>
        </w:tc>
        <w:tc>
          <w:tcPr/>
          <w:p>
            <w:pPr>
              <w:pStyle w:val="Compact"/>
              <w:jc w:val="right"/>
            </w:pPr>
            <w:r>
              <w:t xml:space="preserve">79.3</w:t>
            </w:r>
          </w:p>
        </w:tc>
        <w:tc>
          <w:tcPr/>
          <w:p>
            <w:pPr>
              <w:pStyle w:val="Compact"/>
              <w:jc w:val="right"/>
            </w:pPr>
            <w:r>
              <w:t xml:space="preserve">53.5</w:t>
            </w:r>
          </w:p>
        </w:tc>
        <w:tc>
          <w:tcPr/>
          <w:p>
            <w:pPr>
              <w:pStyle w:val="Compact"/>
              <w:jc w:val="right"/>
            </w:pPr>
            <w:r>
              <w:t xml:space="preserve">99.8</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76.1</w:t>
            </w:r>
          </w:p>
        </w:tc>
        <w:tc>
          <w:tcPr/>
          <w:p>
            <w:pPr>
              <w:pStyle w:val="Compact"/>
              <w:jc w:val="right"/>
            </w:pPr>
            <w:r>
              <w:t xml:space="preserve">71.6</w:t>
            </w:r>
          </w:p>
        </w:tc>
        <w:tc>
          <w:tcPr/>
          <w:p>
            <w:pPr>
              <w:pStyle w:val="Compact"/>
              <w:jc w:val="right"/>
            </w:pPr>
            <w:r>
              <w:t xml:space="preserve">65.6</w:t>
            </w:r>
          </w:p>
        </w:tc>
        <w:tc>
          <w:tcPr/>
          <w:p>
            <w:pPr>
              <w:pStyle w:val="Compact"/>
              <w:jc w:val="right"/>
            </w:pPr>
            <w:r>
              <w:t xml:space="preserve">88.4</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73.3</w:t>
            </w:r>
          </w:p>
        </w:tc>
        <w:tc>
          <w:tcPr/>
          <w:p>
            <w:pPr>
              <w:pStyle w:val="Compact"/>
              <w:jc w:val="right"/>
            </w:pPr>
            <w:r>
              <w:t xml:space="preserve">93.2</w:t>
            </w:r>
          </w:p>
        </w:tc>
        <w:tc>
          <w:tcPr/>
          <w:p>
            <w:pPr>
              <w:pStyle w:val="Compact"/>
              <w:jc w:val="right"/>
            </w:pPr>
            <w:r>
              <w:t xml:space="preserve">88.8</w:t>
            </w:r>
          </w:p>
        </w:tc>
        <w:tc>
          <w:tcPr/>
          <w:p>
            <w:pPr>
              <w:pStyle w:val="Compact"/>
              <w:jc w:val="right"/>
            </w:pPr>
            <w:r>
              <w:t xml:space="preserve">18.0</w:t>
            </w:r>
          </w:p>
        </w:tc>
        <w:tc>
          <w:tcPr/>
          <w:p>
            <w:pPr>
              <w:pStyle w:val="Compact"/>
              <w:jc w:val="right"/>
            </w:pPr>
            <w:r>
              <w:t xml:space="preserve">93.2</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72.4</w:t>
            </w:r>
          </w:p>
        </w:tc>
        <w:tc>
          <w:tcPr/>
          <w:p>
            <w:pPr>
              <w:pStyle w:val="Compact"/>
              <w:jc w:val="right"/>
            </w:pPr>
            <w:r>
              <w:t xml:space="preserve">82.9</w:t>
            </w:r>
          </w:p>
        </w:tc>
        <w:tc>
          <w:tcPr/>
          <w:p>
            <w:pPr>
              <w:pStyle w:val="Compact"/>
              <w:jc w:val="right"/>
            </w:pPr>
            <w:r>
              <w:t xml:space="preserve">90.0</w:t>
            </w:r>
          </w:p>
        </w:tc>
        <w:tc>
          <w:tcPr/>
          <w:p>
            <w:pPr>
              <w:pStyle w:val="Compact"/>
              <w:jc w:val="right"/>
            </w:pPr>
            <w:r>
              <w:t xml:space="preserve">23.7</w:t>
            </w:r>
          </w:p>
        </w:tc>
        <w:tc>
          <w:tcPr/>
          <w:p>
            <w:pPr>
              <w:pStyle w:val="Compact"/>
              <w:jc w:val="right"/>
            </w:pPr>
            <w:r>
              <w:t xml:space="preserve">92.9</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61.0</w:t>
            </w:r>
          </w:p>
        </w:tc>
        <w:tc>
          <w:tcPr/>
          <w:p>
            <w:pPr>
              <w:pStyle w:val="Compact"/>
              <w:jc w:val="right"/>
            </w:pPr>
            <w:r>
              <w:t xml:space="preserve">51.5</w:t>
            </w:r>
          </w:p>
        </w:tc>
        <w:tc>
          <w:tcPr/>
          <w:p>
            <w:pPr>
              <w:pStyle w:val="Compact"/>
              <w:jc w:val="right"/>
            </w:pPr>
            <w:r>
              <w:t xml:space="preserve">78.5</w:t>
            </w:r>
          </w:p>
        </w:tc>
        <w:tc>
          <w:tcPr/>
          <w:p>
            <w:pPr>
              <w:pStyle w:val="Compact"/>
              <w:jc w:val="right"/>
            </w:pPr>
            <w:r>
              <w:t xml:space="preserve">41.8</w:t>
            </w:r>
          </w:p>
        </w:tc>
        <w:tc>
          <w:tcPr/>
          <w:p>
            <w:pPr>
              <w:pStyle w:val="Compact"/>
              <w:jc w:val="right"/>
            </w:pPr>
            <w:r>
              <w:t xml:space="preserve">72.2</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54.3</w:t>
            </w:r>
          </w:p>
        </w:tc>
        <w:tc>
          <w:tcPr/>
          <w:p>
            <w:pPr>
              <w:pStyle w:val="Compact"/>
              <w:jc w:val="right"/>
            </w:pPr>
            <w:r>
              <w:t xml:space="preserve">49.5</w:t>
            </w:r>
          </w:p>
        </w:tc>
        <w:tc>
          <w:tcPr/>
          <w:p>
            <w:pPr>
              <w:pStyle w:val="Compact"/>
              <w:jc w:val="right"/>
            </w:pPr>
            <w:r>
              <w:t xml:space="preserve">68.5</w:t>
            </w:r>
          </w:p>
        </w:tc>
        <w:tc>
          <w:tcPr/>
          <w:p>
            <w:pPr>
              <w:pStyle w:val="Compact"/>
              <w:jc w:val="right"/>
            </w:pPr>
            <w:r>
              <w:t xml:space="preserve">36.1</w:t>
            </w:r>
          </w:p>
        </w:tc>
        <w:tc>
          <w:tcPr/>
          <w:p>
            <w:pPr>
              <w:pStyle w:val="Compact"/>
              <w:jc w:val="right"/>
            </w:pPr>
            <w:r>
              <w:t xml:space="preserve">63.0</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41.0</w:t>
            </w:r>
          </w:p>
        </w:tc>
        <w:tc>
          <w:tcPr/>
          <w:p>
            <w:pPr>
              <w:pStyle w:val="Compact"/>
              <w:jc w:val="right"/>
            </w:pPr>
            <w:r>
              <w:t xml:space="preserve">NA</w:t>
            </w:r>
          </w:p>
        </w:tc>
        <w:tc>
          <w:tcPr/>
          <w:p>
            <w:pPr>
              <w:pStyle w:val="Compact"/>
              <w:jc w:val="right"/>
            </w:pPr>
            <w:r>
              <w:t xml:space="preserve">48.0</w:t>
            </w:r>
          </w:p>
        </w:tc>
        <w:tc>
          <w:tcPr/>
          <w:p>
            <w:pPr>
              <w:pStyle w:val="Compact"/>
              <w:jc w:val="right"/>
            </w:pPr>
            <w:r>
              <w:t xml:space="preserve">23.8</w:t>
            </w:r>
          </w:p>
        </w:tc>
        <w:tc>
          <w:tcPr/>
          <w:p>
            <w:pPr>
              <w:pStyle w:val="Compact"/>
              <w:jc w:val="right"/>
            </w:pPr>
            <w:r>
              <w:t xml:space="preserve">51.4</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25910</w:t>
            </w:r>
          </w:p>
        </w:tc>
        <w:tc>
          <w:tcPr/>
          <w:p>
            <w:pPr>
              <w:pStyle w:val="Compact"/>
              <w:jc w:val="left"/>
            </w:pPr>
            <w:r>
              <w:t xml:space="preserve">Vänoxa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boland_turunma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Åboland-Turunmaa (Seutukunnat)</dc:title>
  <dc:creator>Diakin karttasovellus 2022-02-23 08:49:39</dc:creator>
  <cp:keywords/>
  <dcterms:created xsi:type="dcterms:W3CDTF">2022-02-23T06:50:57Z</dcterms:created>
  <dcterms:modified xsi:type="dcterms:W3CDTF">2022-02-23T06:50:57Z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