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Iitti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20:02:35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20:02:35.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Iitti. Lisäksi tarkastelussa ovat rajanaapurit: Heinola, Iitti, Kouvola, Lahti, Lapinjärvi ja Orimattila.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iit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t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Iitti (valittu)</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Lapinjärvi (naapuri)</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Iitti (valittu)</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Iitti (valittu)</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Lapinjärvi (naapuri)</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Lapinjärvi (naapuri)</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Iitti (valittu)</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t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t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(valittu)</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Lapinjärvi (naapuri)</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Iitti (valittu)</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Lapinjärvi (naapuri)</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Lapinjärvi (naapuri)</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Iitti (valittu)</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Orimattila (naapuri)</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Iitti (valittu)</w:t>
            </w:r>
          </w:p>
        </w:tc>
        <w:tc>
          <w:tcPr/>
          <w:p>
            <w:pPr>
              <w:pStyle w:val="Compact"/>
              <w:jc w:val="right"/>
            </w:pPr>
            <w:r>
              <w:t xml:space="preserve">68.9</w:t>
            </w:r>
          </w:p>
        </w:tc>
        <w:tc>
          <w:tcPr/>
          <w:p>
            <w:pPr>
              <w:pStyle w:val="Compact"/>
              <w:jc w:val="right"/>
            </w:pPr>
            <w:r>
              <w:t xml:space="preserve">131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Lapinjärvi (naapuri)</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Iitti (valittu)</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Iitti (valittu)</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Lapinjärvi (naapuri)</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tt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tt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Lahti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Iitti (valittu)</w:t>
            </w:r>
          </w:p>
        </w:tc>
        <w:tc>
          <w:tcPr/>
          <w:p>
            <w:pPr>
              <w:pStyle w:val="Compact"/>
              <w:jc w:val="right"/>
            </w:pPr>
            <w:r>
              <w:t xml:space="preserve">100.0</w:t>
            </w:r>
          </w:p>
        </w:tc>
        <w:tc>
          <w:tcPr/>
          <w:p>
            <w:pPr>
              <w:pStyle w:val="Compact"/>
              <w:jc w:val="right"/>
            </w:pPr>
            <w:r>
              <w:t xml:space="preserve">127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Lapinjärvi (naapuri)</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Iitti (valittu)</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Iitti (valittu)</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Lapinjärvi (naapuri)</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Iitti (valittu)</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Lapinjärvi (naapuri)</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tt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tt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Iitti (valittu)</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Iitti (valittu)</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Lapinjärvi (naapuri)</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Iitti (valittu)</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Lapinjärvi (naapuri)</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Lahti (naapuri)</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Iitti (valittu)</w:t>
            </w:r>
          </w:p>
        </w:tc>
        <w:tc>
          <w:tcPr/>
          <w:p>
            <w:pPr>
              <w:pStyle w:val="Compact"/>
              <w:jc w:val="right"/>
            </w:pPr>
            <w:r>
              <w:t xml:space="preserve">91.4</w:t>
            </w:r>
          </w:p>
        </w:tc>
        <w:tc>
          <w:tcPr/>
          <w:p>
            <w:pPr>
              <w:pStyle w:val="Compact"/>
              <w:jc w:val="right"/>
            </w:pPr>
            <w:r>
              <w:t xml:space="preserve">163</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Iitti (valittu)</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tt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47460</w:t>
            </w:r>
          </w:p>
        </w:tc>
        <w:tc>
          <w:tcPr/>
          <w:p>
            <w:pPr>
              <w:pStyle w:val="Compact"/>
              <w:jc w:val="left"/>
            </w:pPr>
            <w:r>
              <w:t xml:space="preserve">Hiisiö</w:t>
            </w:r>
          </w:p>
        </w:tc>
        <w:tc>
          <w:tcPr/>
          <w:p>
            <w:pPr>
              <w:pStyle w:val="Compact"/>
              <w:jc w:val="right"/>
            </w:pPr>
            <w:r>
              <w:t xml:space="preserve">150.9</w:t>
            </w:r>
          </w:p>
        </w:tc>
        <w:tc>
          <w:tcPr/>
          <w:p>
            <w:pPr>
              <w:pStyle w:val="Compact"/>
              <w:jc w:val="right"/>
            </w:pPr>
            <w:r>
              <w:t xml:space="preserve">156.6</w:t>
            </w:r>
          </w:p>
        </w:tc>
        <w:tc>
          <w:tcPr/>
          <w:p>
            <w:pPr>
              <w:pStyle w:val="Compact"/>
              <w:jc w:val="right"/>
            </w:pPr>
            <w:r>
              <w:t xml:space="preserve">158.6</w:t>
            </w:r>
          </w:p>
        </w:tc>
        <w:tc>
          <w:tcPr/>
          <w:p>
            <w:pPr>
              <w:pStyle w:val="Compact"/>
              <w:jc w:val="right"/>
            </w:pPr>
            <w:r>
              <w:t xml:space="preserve">232.0</w:t>
            </w:r>
          </w:p>
        </w:tc>
        <w:tc>
          <w:tcPr/>
          <w:p>
            <w:pPr>
              <w:pStyle w:val="Compact"/>
              <w:jc w:val="right"/>
            </w:pPr>
            <w:r>
              <w:t xml:space="preserve">56.5</w:t>
            </w:r>
          </w:p>
        </w:tc>
      </w:tr>
      <w:tr>
        <w:tc>
          <w:tcPr/>
          <w:p>
            <w:pPr>
              <w:pStyle w:val="Compact"/>
              <w:jc w:val="left"/>
            </w:pPr>
            <w:r>
              <w:t xml:space="preserve">19160</w:t>
            </w:r>
          </w:p>
        </w:tc>
        <w:tc>
          <w:tcPr/>
          <w:p>
            <w:pPr>
              <w:pStyle w:val="Compact"/>
              <w:jc w:val="left"/>
            </w:pPr>
            <w:r>
              <w:t xml:space="preserve">Huutotöyry</w:t>
            </w:r>
          </w:p>
        </w:tc>
        <w:tc>
          <w:tcPr/>
          <w:p>
            <w:pPr>
              <w:pStyle w:val="Compact"/>
              <w:jc w:val="right"/>
            </w:pPr>
            <w:r>
              <w:t xml:space="preserve">123.6</w:t>
            </w:r>
          </w:p>
        </w:tc>
        <w:tc>
          <w:tcPr/>
          <w:p>
            <w:pPr>
              <w:pStyle w:val="Compact"/>
              <w:jc w:val="right"/>
            </w:pPr>
            <w:r>
              <w:t xml:space="preserve">125.9</w:t>
            </w:r>
          </w:p>
        </w:tc>
        <w:tc>
          <w:tcPr/>
          <w:p>
            <w:pPr>
              <w:pStyle w:val="Compact"/>
              <w:jc w:val="right"/>
            </w:pPr>
            <w:r>
              <w:t xml:space="preserve">119.2</w:t>
            </w:r>
          </w:p>
        </w:tc>
        <w:tc>
          <w:tcPr/>
          <w:p>
            <w:pPr>
              <w:pStyle w:val="Compact"/>
              <w:jc w:val="right"/>
            </w:pPr>
            <w:r>
              <w:t xml:space="preserve">141.7</w:t>
            </w:r>
          </w:p>
        </w:tc>
        <w:tc>
          <w:tcPr/>
          <w:p>
            <w:pPr>
              <w:pStyle w:val="Compact"/>
              <w:jc w:val="right"/>
            </w:pPr>
            <w:r>
              <w:t xml:space="preserve">107.7</w:t>
            </w:r>
          </w:p>
        </w:tc>
      </w:tr>
      <w:tr>
        <w:tc>
          <w:tcPr/>
          <w:p>
            <w:pPr>
              <w:pStyle w:val="Compact"/>
              <w:jc w:val="left"/>
            </w:pPr>
            <w:r>
              <w:t xml:space="preserve">47610</w:t>
            </w:r>
          </w:p>
        </w:tc>
        <w:tc>
          <w:tcPr/>
          <w:p>
            <w:pPr>
              <w:pStyle w:val="Compact"/>
              <w:jc w:val="left"/>
            </w:pPr>
            <w:r>
              <w:t xml:space="preserve">Kymentaka</w:t>
            </w:r>
          </w:p>
        </w:tc>
        <w:tc>
          <w:tcPr/>
          <w:p>
            <w:pPr>
              <w:pStyle w:val="Compact"/>
              <w:jc w:val="right"/>
            </w:pPr>
            <w:r>
              <w:t xml:space="preserve">118.4</w:t>
            </w:r>
          </w:p>
        </w:tc>
        <w:tc>
          <w:tcPr/>
          <w:p>
            <w:pPr>
              <w:pStyle w:val="Compact"/>
              <w:jc w:val="right"/>
            </w:pPr>
            <w:r>
              <w:t xml:space="preserve">105.1</w:t>
            </w:r>
          </w:p>
        </w:tc>
        <w:tc>
          <w:tcPr/>
          <w:p>
            <w:pPr>
              <w:pStyle w:val="Compact"/>
              <w:jc w:val="right"/>
            </w:pPr>
            <w:r>
              <w:t xml:space="preserve">135.1</w:t>
            </w:r>
          </w:p>
        </w:tc>
        <w:tc>
          <w:tcPr/>
          <w:p>
            <w:pPr>
              <w:pStyle w:val="Compact"/>
              <w:jc w:val="right"/>
            </w:pPr>
            <w:r>
              <w:t xml:space="preserve">128.2</w:t>
            </w:r>
          </w:p>
        </w:tc>
        <w:tc>
          <w:tcPr/>
          <w:p>
            <w:pPr>
              <w:pStyle w:val="Compact"/>
              <w:jc w:val="right"/>
            </w:pPr>
            <w:r>
              <w:t xml:space="preserve">105.2</w:t>
            </w:r>
          </w:p>
        </w:tc>
      </w:tr>
      <w:tr>
        <w:tc>
          <w:tcPr/>
          <w:p>
            <w:pPr>
              <w:pStyle w:val="Compact"/>
              <w:jc w:val="left"/>
            </w:pPr>
            <w:r>
              <w:t xml:space="preserve">47490</w:t>
            </w:r>
          </w:p>
        </w:tc>
        <w:tc>
          <w:tcPr/>
          <w:p>
            <w:pPr>
              <w:pStyle w:val="Compact"/>
              <w:jc w:val="left"/>
            </w:pPr>
            <w:r>
              <w:t xml:space="preserve">Mankala-Hiisiö</w:t>
            </w:r>
          </w:p>
        </w:tc>
        <w:tc>
          <w:tcPr/>
          <w:p>
            <w:pPr>
              <w:pStyle w:val="Compact"/>
              <w:jc w:val="right"/>
            </w:pPr>
            <w:r>
              <w:t xml:space="preserve">110.3</w:t>
            </w:r>
          </w:p>
        </w:tc>
        <w:tc>
          <w:tcPr/>
          <w:p>
            <w:pPr>
              <w:pStyle w:val="Compact"/>
              <w:jc w:val="right"/>
            </w:pPr>
            <w:r>
              <w:t xml:space="preserve">105.4</w:t>
            </w:r>
          </w:p>
        </w:tc>
        <w:tc>
          <w:tcPr/>
          <w:p>
            <w:pPr>
              <w:pStyle w:val="Compact"/>
              <w:jc w:val="right"/>
            </w:pPr>
            <w:r>
              <w:t xml:space="preserve">123.3</w:t>
            </w:r>
          </w:p>
        </w:tc>
        <w:tc>
          <w:tcPr/>
          <w:p>
            <w:pPr>
              <w:pStyle w:val="Compact"/>
              <w:jc w:val="right"/>
            </w:pPr>
            <w:r>
              <w:t xml:space="preserve">104.8</w:t>
            </w:r>
          </w:p>
        </w:tc>
        <w:tc>
          <w:tcPr/>
          <w:p>
            <w:pPr>
              <w:pStyle w:val="Compact"/>
              <w:jc w:val="right"/>
            </w:pPr>
            <w:r>
              <w:t xml:space="preserve">107.6</w:t>
            </w:r>
          </w:p>
        </w:tc>
      </w:tr>
      <w:tr>
        <w:tc>
          <w:tcPr/>
          <w:p>
            <w:pPr>
              <w:pStyle w:val="Compact"/>
              <w:jc w:val="left"/>
            </w:pPr>
            <w:r>
              <w:t xml:space="preserve">47400</w:t>
            </w:r>
          </w:p>
        </w:tc>
        <w:tc>
          <w:tcPr/>
          <w:p>
            <w:pPr>
              <w:pStyle w:val="Compact"/>
              <w:jc w:val="left"/>
            </w:pPr>
            <w:r>
              <w:t xml:space="preserve">Kausala</w:t>
            </w:r>
          </w:p>
        </w:tc>
        <w:tc>
          <w:tcPr/>
          <w:p>
            <w:pPr>
              <w:pStyle w:val="Compact"/>
              <w:jc w:val="right"/>
            </w:pPr>
            <w:r>
              <w:t xml:space="preserve">109.5</w:t>
            </w:r>
          </w:p>
        </w:tc>
        <w:tc>
          <w:tcPr/>
          <w:p>
            <w:pPr>
              <w:pStyle w:val="Compact"/>
              <w:jc w:val="right"/>
            </w:pPr>
            <w:r>
              <w:t xml:space="preserve">120.0</w:t>
            </w:r>
          </w:p>
        </w:tc>
        <w:tc>
          <w:tcPr/>
          <w:p>
            <w:pPr>
              <w:pStyle w:val="Compact"/>
              <w:jc w:val="right"/>
            </w:pPr>
            <w:r>
              <w:t xml:space="preserve">91.8</w:t>
            </w:r>
          </w:p>
        </w:tc>
        <w:tc>
          <w:tcPr/>
          <w:p>
            <w:pPr>
              <w:pStyle w:val="Compact"/>
              <w:jc w:val="right"/>
            </w:pPr>
            <w:r>
              <w:t xml:space="preserve">111.9</w:t>
            </w:r>
          </w:p>
        </w:tc>
        <w:tc>
          <w:tcPr/>
          <w:p>
            <w:pPr>
              <w:pStyle w:val="Compact"/>
              <w:jc w:val="right"/>
            </w:pPr>
            <w:r>
              <w:t xml:space="preserve">114.5</w:t>
            </w:r>
          </w:p>
        </w:tc>
      </w:tr>
      <w:tr>
        <w:tc>
          <w:tcPr/>
          <w:p>
            <w:pPr>
              <w:pStyle w:val="Compact"/>
              <w:jc w:val="left"/>
            </w:pPr>
            <w:r>
              <w:t xml:space="preserve">47440</w:t>
            </w:r>
          </w:p>
        </w:tc>
        <w:tc>
          <w:tcPr/>
          <w:p>
            <w:pPr>
              <w:pStyle w:val="Compact"/>
              <w:jc w:val="left"/>
            </w:pPr>
            <w:r>
              <w:t xml:space="preserve">Sääskjärvi</w:t>
            </w:r>
          </w:p>
        </w:tc>
        <w:tc>
          <w:tcPr/>
          <w:p>
            <w:pPr>
              <w:pStyle w:val="Compact"/>
              <w:jc w:val="right"/>
            </w:pPr>
            <w:r>
              <w:t xml:space="preserve">100.0</w:t>
            </w:r>
          </w:p>
        </w:tc>
        <w:tc>
          <w:tcPr/>
          <w:p>
            <w:pPr>
              <w:pStyle w:val="Compact"/>
              <w:jc w:val="right"/>
            </w:pPr>
            <w:r>
              <w:t xml:space="preserve">89.1</w:t>
            </w:r>
          </w:p>
        </w:tc>
        <w:tc>
          <w:tcPr/>
          <w:p>
            <w:pPr>
              <w:pStyle w:val="Compact"/>
              <w:jc w:val="right"/>
            </w:pPr>
            <w:r>
              <w:t xml:space="preserve">109.9</w:t>
            </w:r>
          </w:p>
        </w:tc>
        <w:tc>
          <w:tcPr/>
          <w:p>
            <w:pPr>
              <w:pStyle w:val="Compact"/>
              <w:jc w:val="right"/>
            </w:pPr>
            <w:r>
              <w:t xml:space="preserve">111.2</w:t>
            </w:r>
          </w:p>
        </w:tc>
        <w:tc>
          <w:tcPr/>
          <w:p>
            <w:pPr>
              <w:pStyle w:val="Compact"/>
              <w:jc w:val="right"/>
            </w:pPr>
            <w:r>
              <w:t xml:space="preserve">89.6</w:t>
            </w:r>
          </w:p>
        </w:tc>
      </w:tr>
      <w:tr>
        <w:tc>
          <w:tcPr/>
          <w:p>
            <w:pPr>
              <w:pStyle w:val="Compact"/>
              <w:jc w:val="left"/>
            </w:pPr>
            <w:r>
              <w:t xml:space="preserve">47450</w:t>
            </w:r>
          </w:p>
        </w:tc>
        <w:tc>
          <w:tcPr/>
          <w:p>
            <w:pPr>
              <w:pStyle w:val="Compact"/>
              <w:jc w:val="left"/>
            </w:pPr>
            <w:r>
              <w:t xml:space="preserve">Perheniemi</w:t>
            </w:r>
          </w:p>
        </w:tc>
        <w:tc>
          <w:tcPr/>
          <w:p>
            <w:pPr>
              <w:pStyle w:val="Compact"/>
              <w:jc w:val="right"/>
            </w:pPr>
            <w:r>
              <w:t xml:space="preserve">99.7</w:t>
            </w:r>
          </w:p>
        </w:tc>
        <w:tc>
          <w:tcPr/>
          <w:p>
            <w:pPr>
              <w:pStyle w:val="Compact"/>
              <w:jc w:val="right"/>
            </w:pPr>
            <w:r>
              <w:t xml:space="preserve">95.8</w:t>
            </w:r>
          </w:p>
        </w:tc>
        <w:tc>
          <w:tcPr/>
          <w:p>
            <w:pPr>
              <w:pStyle w:val="Compact"/>
              <w:jc w:val="right"/>
            </w:pPr>
            <w:r>
              <w:t xml:space="preserve">93.8</w:t>
            </w:r>
          </w:p>
        </w:tc>
        <w:tc>
          <w:tcPr/>
          <w:p>
            <w:pPr>
              <w:pStyle w:val="Compact"/>
              <w:jc w:val="right"/>
            </w:pPr>
            <w:r>
              <w:t xml:space="preserve">96.3</w:t>
            </w:r>
          </w:p>
        </w:tc>
        <w:tc>
          <w:tcPr/>
          <w:p>
            <w:pPr>
              <w:pStyle w:val="Compact"/>
              <w:jc w:val="right"/>
            </w:pPr>
            <w:r>
              <w:t xml:space="preserve">112.9</w:t>
            </w:r>
          </w:p>
        </w:tc>
      </w:tr>
      <w:tr>
        <w:tc>
          <w:tcPr/>
          <w:p>
            <w:pPr>
              <w:pStyle w:val="Compact"/>
              <w:jc w:val="left"/>
            </w:pPr>
            <w:r>
              <w:t xml:space="preserve">47310</w:t>
            </w:r>
          </w:p>
        </w:tc>
        <w:tc>
          <w:tcPr/>
          <w:p>
            <w:pPr>
              <w:pStyle w:val="Compact"/>
              <w:jc w:val="left"/>
            </w:pPr>
            <w:r>
              <w:t xml:space="preserve">Haapa-Kimola</w:t>
            </w:r>
          </w:p>
        </w:tc>
        <w:tc>
          <w:tcPr/>
          <w:p>
            <w:pPr>
              <w:pStyle w:val="Compact"/>
              <w:jc w:val="right"/>
            </w:pPr>
            <w:r>
              <w:t xml:space="preserve">93.6</w:t>
            </w:r>
          </w:p>
        </w:tc>
        <w:tc>
          <w:tcPr/>
          <w:p>
            <w:pPr>
              <w:pStyle w:val="Compact"/>
              <w:jc w:val="right"/>
            </w:pPr>
            <w:r>
              <w:t xml:space="preserve">115.7</w:t>
            </w:r>
          </w:p>
        </w:tc>
        <w:tc>
          <w:tcPr/>
          <w:p>
            <w:pPr>
              <w:pStyle w:val="Compact"/>
              <w:jc w:val="right"/>
            </w:pPr>
            <w:r>
              <w:t xml:space="preserve">120.2</w:t>
            </w:r>
          </w:p>
        </w:tc>
        <w:tc>
          <w:tcPr/>
          <w:p>
            <w:pPr>
              <w:pStyle w:val="Compact"/>
              <w:jc w:val="right"/>
            </w:pPr>
            <w:r>
              <w:t xml:space="preserve">47.3</w:t>
            </w:r>
          </w:p>
        </w:tc>
        <w:tc>
          <w:tcPr/>
          <w:p>
            <w:pPr>
              <w:pStyle w:val="Compact"/>
              <w:jc w:val="right"/>
            </w:pPr>
            <w:r>
              <w:t xml:space="preserve">91.4</w:t>
            </w:r>
          </w:p>
        </w:tc>
      </w:tr>
      <w:tr>
        <w:tc>
          <w:tcPr/>
          <w:p>
            <w:pPr>
              <w:pStyle w:val="Compact"/>
              <w:jc w:val="left"/>
            </w:pPr>
            <w:r>
              <w:t xml:space="preserve">47540</w:t>
            </w:r>
          </w:p>
        </w:tc>
        <w:tc>
          <w:tcPr/>
          <w:p>
            <w:pPr>
              <w:pStyle w:val="Compact"/>
              <w:jc w:val="left"/>
            </w:pPr>
            <w:r>
              <w:t xml:space="preserve">Löyttilä</w:t>
            </w:r>
          </w:p>
        </w:tc>
        <w:tc>
          <w:tcPr/>
          <w:p>
            <w:pPr>
              <w:pStyle w:val="Compact"/>
              <w:jc w:val="right"/>
            </w:pPr>
            <w:r>
              <w:t xml:space="preserve">76.8</w:t>
            </w:r>
          </w:p>
        </w:tc>
        <w:tc>
          <w:tcPr/>
          <w:p>
            <w:pPr>
              <w:pStyle w:val="Compact"/>
              <w:jc w:val="right"/>
            </w:pPr>
            <w:r>
              <w:t xml:space="preserve">83.0</w:t>
            </w:r>
          </w:p>
        </w:tc>
        <w:tc>
          <w:tcPr/>
          <w:p>
            <w:pPr>
              <w:pStyle w:val="Compact"/>
              <w:jc w:val="right"/>
            </w:pPr>
            <w:r>
              <w:t xml:space="preserve">86.9</w:t>
            </w:r>
          </w:p>
        </w:tc>
        <w:tc>
          <w:tcPr/>
          <w:p>
            <w:pPr>
              <w:pStyle w:val="Compact"/>
              <w:jc w:val="right"/>
            </w:pPr>
            <w:r>
              <w:t xml:space="preserve">44.4</w:t>
            </w:r>
          </w:p>
        </w:tc>
        <w:tc>
          <w:tcPr/>
          <w:p>
            <w:pPr>
              <w:pStyle w:val="Compact"/>
              <w:jc w:val="right"/>
            </w:pPr>
            <w:r>
              <w:t xml:space="preserve">93.0</w:t>
            </w:r>
          </w:p>
        </w:tc>
      </w:tr>
      <w:tr>
        <w:tc>
          <w:tcPr/>
          <w:p>
            <w:pPr>
              <w:pStyle w:val="Compact"/>
              <w:jc w:val="left"/>
            </w:pPr>
            <w:r>
              <w:t xml:space="preserve">47520</w:t>
            </w:r>
          </w:p>
        </w:tc>
        <w:tc>
          <w:tcPr/>
          <w:p>
            <w:pPr>
              <w:pStyle w:val="Compact"/>
              <w:jc w:val="left"/>
            </w:pPr>
            <w:r>
              <w:t xml:space="preserve">Iitti kk</w:t>
            </w:r>
          </w:p>
        </w:tc>
        <w:tc>
          <w:tcPr/>
          <w:p>
            <w:pPr>
              <w:pStyle w:val="Compact"/>
              <w:jc w:val="right"/>
            </w:pPr>
            <w:r>
              <w:t xml:space="preserve">51.1</w:t>
            </w:r>
          </w:p>
        </w:tc>
        <w:tc>
          <w:tcPr/>
          <w:p>
            <w:pPr>
              <w:pStyle w:val="Compact"/>
              <w:jc w:val="right"/>
            </w:pPr>
            <w:r>
              <w:t xml:space="preserve">33.5</w:t>
            </w:r>
          </w:p>
        </w:tc>
        <w:tc>
          <w:tcPr/>
          <w:p>
            <w:pPr>
              <w:pStyle w:val="Compact"/>
              <w:jc w:val="right"/>
            </w:pPr>
            <w:r>
              <w:t xml:space="preserve">57.6</w:t>
            </w:r>
          </w:p>
        </w:tc>
        <w:tc>
          <w:tcPr/>
          <w:p>
            <w:pPr>
              <w:pStyle w:val="Compact"/>
              <w:jc w:val="right"/>
            </w:pPr>
            <w:r>
              <w:t xml:space="preserve">53.1</w:t>
            </w:r>
          </w:p>
        </w:tc>
        <w:tc>
          <w:tcPr/>
          <w:p>
            <w:pPr>
              <w:pStyle w:val="Compact"/>
              <w:jc w:val="right"/>
            </w:pPr>
            <w:r>
              <w:t xml:space="preserve">60.3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tt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tt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tt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tt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Iitti (Kunnat)</dc:title>
  <dc:creator>Diakin karttasovellus 2022-02-22 20:02:35</dc:creator>
  <cp:keywords/>
  <dcterms:created xsi:type="dcterms:W3CDTF">2022-02-22T18:03:58Z</dcterms:created>
  <dcterms:modified xsi:type="dcterms:W3CDTF">2022-02-22T18:03:58Z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