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Imatra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20:07:26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20:07:26.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Imatra. Lisäksi tarkastelussa ovat rajanaapurit: Imatra, Lappeenranta ja Ruokolahti.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imatr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124.6</w:t>
            </w:r>
          </w:p>
        </w:tc>
        <w:tc>
          <w:tcPr/>
          <w:p>
            <w:pPr>
              <w:pStyle w:val="Compact"/>
              <w:jc w:val="right"/>
            </w:pPr>
            <w:r>
              <w:t xml:space="preserve">71</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126.4</w:t>
            </w:r>
          </w:p>
        </w:tc>
        <w:tc>
          <w:tcPr/>
          <w:p>
            <w:pPr>
              <w:pStyle w:val="Compact"/>
              <w:jc w:val="right"/>
            </w:pPr>
            <w:r>
              <w:t xml:space="preserve">50</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120.2</w:t>
            </w:r>
          </w:p>
        </w:tc>
        <w:tc>
          <w:tcPr/>
          <w:p>
            <w:pPr>
              <w:pStyle w:val="Compact"/>
              <w:jc w:val="right"/>
            </w:pPr>
            <w:r>
              <w:t xml:space="preserve">75</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127.1</w:t>
            </w:r>
          </w:p>
        </w:tc>
        <w:tc>
          <w:tcPr/>
          <w:p>
            <w:pPr>
              <w:pStyle w:val="Compact"/>
              <w:jc w:val="right"/>
            </w:pPr>
            <w:r>
              <w:t xml:space="preserve">84</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122.8</w:t>
            </w:r>
          </w:p>
        </w:tc>
        <w:tc>
          <w:tcPr/>
          <w:p>
            <w:pPr>
              <w:pStyle w:val="Compact"/>
              <w:jc w:val="right"/>
            </w:pPr>
            <w:r>
              <w:t xml:space="preserve">58</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174.8</w:t>
            </w:r>
          </w:p>
        </w:tc>
        <w:tc>
          <w:tcPr/>
          <w:p>
            <w:pPr>
              <w:pStyle w:val="Compact"/>
              <w:jc w:val="right"/>
            </w:pPr>
            <w:r>
              <w:t xml:space="preserve">7</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135.8</w:t>
            </w:r>
          </w:p>
        </w:tc>
        <w:tc>
          <w:tcPr/>
          <w:p>
            <w:pPr>
              <w:pStyle w:val="Compact"/>
              <w:jc w:val="right"/>
            </w:pPr>
            <w:r>
              <w:t xml:space="preserve">69</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139.0</w:t>
            </w:r>
          </w:p>
        </w:tc>
        <w:tc>
          <w:tcPr/>
          <w:p>
            <w:pPr>
              <w:pStyle w:val="Compact"/>
              <w:jc w:val="right"/>
            </w:pPr>
            <w:r>
              <w:t xml:space="preserve">39</w:t>
            </w:r>
          </w:p>
        </w:tc>
      </w:tr>
      <w:tr>
        <w:tc>
          <w:tcPr/>
          <w:p>
            <w:pPr>
              <w:pStyle w:val="Compact"/>
              <w:jc w:val="left"/>
            </w:pPr>
            <w:r>
              <w:t xml:space="preserve">Lappeenranta (naapuri)</w:t>
            </w:r>
          </w:p>
        </w:tc>
        <w:tc>
          <w:tcPr/>
          <w:p>
            <w:pPr>
              <w:pStyle w:val="Compact"/>
              <w:jc w:val="right"/>
            </w:pPr>
            <w:r>
              <w:t xml:space="preserve">89.2</w:t>
            </w:r>
          </w:p>
        </w:tc>
        <w:tc>
          <w:tcPr/>
          <w:p>
            <w:pPr>
              <w:pStyle w:val="Compact"/>
              <w:jc w:val="right"/>
            </w:pPr>
            <w:r>
              <w:t xml:space="preserve">108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Imatra (valittu)</w:t>
            </w:r>
          </w:p>
        </w:tc>
        <w:tc>
          <w:tcPr/>
          <w:p>
            <w:pPr>
              <w:pStyle w:val="Compact"/>
              <w:jc w:val="right"/>
            </w:pPr>
            <w:r>
              <w:t xml:space="preserve">175.3</w:t>
            </w:r>
          </w:p>
        </w:tc>
        <w:tc>
          <w:tcPr/>
          <w:p>
            <w:pPr>
              <w:pStyle w:val="Compact"/>
              <w:jc w:val="right"/>
            </w:pPr>
            <w:r>
              <w:t xml:space="preserve">34</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Imatra (valittu)</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97.9</w:t>
            </w:r>
          </w:p>
        </w:tc>
        <w:tc>
          <w:tcPr/>
          <w:p>
            <w:pPr>
              <w:pStyle w:val="Compact"/>
              <w:jc w:val="right"/>
            </w:pPr>
            <w:r>
              <w:t xml:space="preserve">20</w:t>
            </w:r>
          </w:p>
        </w:tc>
      </w:tr>
      <w:tr>
        <w:tc>
          <w:tcPr/>
          <w:p>
            <w:pPr>
              <w:pStyle w:val="Compact"/>
              <w:jc w:val="left"/>
            </w:pPr>
            <w:r>
              <w:t xml:space="preserve">Imatra (valittu)</w:t>
            </w:r>
          </w:p>
        </w:tc>
        <w:tc>
          <w:tcPr/>
          <w:p>
            <w:pPr>
              <w:pStyle w:val="Compact"/>
              <w:jc w:val="right"/>
            </w:pPr>
            <w:r>
              <w:t xml:space="preserve">72.9</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101.9</w:t>
            </w:r>
          </w:p>
        </w:tc>
        <w:tc>
          <w:tcPr/>
          <w:p>
            <w:pPr>
              <w:pStyle w:val="Compact"/>
              <w:jc w:val="right"/>
            </w:pPr>
            <w:r>
              <w:t xml:space="preserve">16</w:t>
            </w:r>
          </w:p>
        </w:tc>
      </w:tr>
      <w:tr>
        <w:tc>
          <w:tcPr/>
          <w:p>
            <w:pPr>
              <w:pStyle w:val="Compact"/>
              <w:jc w:val="left"/>
            </w:pPr>
            <w:r>
              <w:t xml:space="preserve">Imatra (valittu)</w:t>
            </w:r>
          </w:p>
        </w:tc>
        <w:tc>
          <w:tcPr/>
          <w:p>
            <w:pPr>
              <w:pStyle w:val="Compact"/>
              <w:jc w:val="right"/>
            </w:pPr>
            <w:r>
              <w:t xml:space="preserve">92.8</w:t>
            </w:r>
          </w:p>
        </w:tc>
        <w:tc>
          <w:tcPr/>
          <w:p>
            <w:pPr>
              <w:pStyle w:val="Compact"/>
              <w:jc w:val="right"/>
            </w:pPr>
            <w:r>
              <w:t xml:space="preserve">20</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119.5</w:t>
            </w:r>
          </w:p>
        </w:tc>
        <w:tc>
          <w:tcPr/>
          <w:p>
            <w:pPr>
              <w:pStyle w:val="Compact"/>
              <w:jc w:val="right"/>
            </w:pPr>
            <w:r>
              <w:t xml:space="preserve">3</w:t>
            </w:r>
          </w:p>
        </w:tc>
      </w:tr>
      <w:tr>
        <w:tc>
          <w:tcPr/>
          <w:p>
            <w:pPr>
              <w:pStyle w:val="Compact"/>
              <w:jc w:val="left"/>
            </w:pPr>
            <w:r>
              <w:t xml:space="preserve">Lappeenranta (naapuri)</w:t>
            </w:r>
          </w:p>
        </w:tc>
        <w:tc>
          <w:tcPr/>
          <w:p>
            <w:pPr>
              <w:pStyle w:val="Compact"/>
              <w:jc w:val="right"/>
            </w:pPr>
            <w:r>
              <w:t xml:space="preserve">104.3</w:t>
            </w:r>
          </w:p>
        </w:tc>
        <w:tc>
          <w:tcPr/>
          <w:p>
            <w:pPr>
              <w:pStyle w:val="Compact"/>
              <w:jc w:val="right"/>
            </w:pPr>
            <w:r>
              <w:t xml:space="preserve">11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76.7</w:t>
            </w:r>
          </w:p>
        </w:tc>
        <w:tc>
          <w:tcPr/>
          <w:p>
            <w:pPr>
              <w:pStyle w:val="Compact"/>
              <w:jc w:val="right"/>
            </w:pPr>
            <w:r>
              <w:t xml:space="preserve">179</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Lappeenranta (naapuri)</w:t>
            </w:r>
          </w:p>
        </w:tc>
        <w:tc>
          <w:tcPr/>
          <w:p>
            <w:pPr>
              <w:pStyle w:val="Compact"/>
              <w:jc w:val="right"/>
            </w:pPr>
            <w:r>
              <w:t xml:space="preserve">53.5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167.2</w:t>
            </w:r>
          </w:p>
        </w:tc>
        <w:tc>
          <w:tcPr/>
          <w:p>
            <w:pPr>
              <w:pStyle w:val="Compact"/>
              <w:jc w:val="right"/>
            </w:pPr>
            <w:r>
              <w:t xml:space="preserve">14</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139.1</w:t>
            </w:r>
          </w:p>
        </w:tc>
        <w:tc>
          <w:tcPr/>
          <w:p>
            <w:pPr>
              <w:pStyle w:val="Compact"/>
              <w:jc w:val="right"/>
            </w:pPr>
            <w:r>
              <w:t xml:space="preserve">45</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115.4</w:t>
            </w:r>
          </w:p>
        </w:tc>
        <w:tc>
          <w:tcPr/>
          <w:p>
            <w:pPr>
              <w:pStyle w:val="Compact"/>
              <w:jc w:val="right"/>
            </w:pPr>
            <w:r>
              <w:t xml:space="preserve">86</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94.1</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Lappeenranta (naapuri)</w:t>
            </w:r>
          </w:p>
        </w:tc>
        <w:tc>
          <w:tcPr/>
          <w:p>
            <w:pPr>
              <w:pStyle w:val="Compact"/>
              <w:jc w:val="right"/>
            </w:pPr>
            <w:r>
              <w:t xml:space="preserve">99.2</w:t>
            </w:r>
          </w:p>
        </w:tc>
        <w:tc>
          <w:tcPr/>
          <w:p>
            <w:pPr>
              <w:pStyle w:val="Compact"/>
              <w:jc w:val="right"/>
            </w:pPr>
            <w:r>
              <w:t xml:space="preserve">18</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196.4</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Imatra (valittu)</w:t>
            </w:r>
          </w:p>
        </w:tc>
        <w:tc>
          <w:tcPr/>
          <w:p>
            <w:pPr>
              <w:pStyle w:val="Compact"/>
              <w:jc w:val="right"/>
            </w:pPr>
            <w:r>
              <w:t xml:space="preserve">71.4</w:t>
            </w:r>
          </w:p>
        </w:tc>
        <w:tc>
          <w:tcPr/>
          <w:p>
            <w:pPr>
              <w:pStyle w:val="Compact"/>
              <w:jc w:val="right"/>
            </w:pPr>
            <w:r>
              <w:t xml:space="preserve">204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104.3</w:t>
            </w:r>
          </w:p>
        </w:tc>
        <w:tc>
          <w:tcPr/>
          <w:p>
            <w:pPr>
              <w:pStyle w:val="Compact"/>
              <w:jc w:val="right"/>
            </w:pPr>
            <w:r>
              <w:t xml:space="preserve">129</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Imatra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172.1</w:t>
            </w:r>
          </w:p>
        </w:tc>
        <w:tc>
          <w:tcPr/>
          <w:p>
            <w:pPr>
              <w:pStyle w:val="Compact"/>
              <w:jc w:val="right"/>
            </w:pPr>
            <w:r>
              <w:t xml:space="preserve">170.3</w:t>
            </w:r>
          </w:p>
        </w:tc>
        <w:tc>
          <w:tcPr/>
          <w:p>
            <w:pPr>
              <w:pStyle w:val="Compact"/>
              <w:jc w:val="right"/>
            </w:pPr>
            <w:r>
              <w:t xml:space="preserve">127.0</w:t>
            </w:r>
          </w:p>
        </w:tc>
        <w:tc>
          <w:tcPr/>
          <w:p>
            <w:pPr>
              <w:pStyle w:val="Compact"/>
              <w:jc w:val="right"/>
            </w:pPr>
            <w:r>
              <w:t xml:space="preserve">260.8</w:t>
            </w:r>
          </w:p>
        </w:tc>
        <w:tc>
          <w:tcPr/>
          <w:p>
            <w:pPr>
              <w:pStyle w:val="Compact"/>
              <w:jc w:val="right"/>
            </w:pPr>
            <w:r>
              <w:t xml:space="preserve">130.2</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140.2</w:t>
            </w:r>
          </w:p>
        </w:tc>
        <w:tc>
          <w:tcPr/>
          <w:p>
            <w:pPr>
              <w:pStyle w:val="Compact"/>
              <w:jc w:val="right"/>
            </w:pPr>
            <w:r>
              <w:t xml:space="preserve">137.6</w:t>
            </w:r>
          </w:p>
        </w:tc>
        <w:tc>
          <w:tcPr/>
          <w:p>
            <w:pPr>
              <w:pStyle w:val="Compact"/>
              <w:jc w:val="right"/>
            </w:pPr>
            <w:r>
              <w:t xml:space="preserve">103.4</w:t>
            </w:r>
          </w:p>
        </w:tc>
        <w:tc>
          <w:tcPr/>
          <w:p>
            <w:pPr>
              <w:pStyle w:val="Compact"/>
              <w:jc w:val="right"/>
            </w:pPr>
            <w:r>
              <w:t xml:space="preserve">193.1</w:t>
            </w:r>
          </w:p>
        </w:tc>
        <w:tc>
          <w:tcPr/>
          <w:p>
            <w:pPr>
              <w:pStyle w:val="Compact"/>
              <w:jc w:val="right"/>
            </w:pPr>
            <w:r>
              <w:t xml:space="preserve">126.8</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137.3</w:t>
            </w:r>
          </w:p>
        </w:tc>
        <w:tc>
          <w:tcPr/>
          <w:p>
            <w:pPr>
              <w:pStyle w:val="Compact"/>
              <w:jc w:val="right"/>
            </w:pPr>
            <w:r>
              <w:t xml:space="preserve">121.9</w:t>
            </w:r>
          </w:p>
        </w:tc>
        <w:tc>
          <w:tcPr/>
          <w:p>
            <w:pPr>
              <w:pStyle w:val="Compact"/>
              <w:jc w:val="right"/>
            </w:pPr>
            <w:r>
              <w:t xml:space="preserve">97.5</w:t>
            </w:r>
          </w:p>
        </w:tc>
        <w:tc>
          <w:tcPr/>
          <w:p>
            <w:pPr>
              <w:pStyle w:val="Compact"/>
              <w:jc w:val="right"/>
            </w:pPr>
            <w:r>
              <w:t xml:space="preserve">216.6</w:t>
            </w:r>
          </w:p>
        </w:tc>
        <w:tc>
          <w:tcPr/>
          <w:p>
            <w:pPr>
              <w:pStyle w:val="Compact"/>
              <w:jc w:val="right"/>
            </w:pPr>
            <w:r>
              <w:t xml:space="preserve">113.3</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129.0</w:t>
            </w:r>
          </w:p>
        </w:tc>
        <w:tc>
          <w:tcPr/>
          <w:p>
            <w:pPr>
              <w:pStyle w:val="Compact"/>
              <w:jc w:val="right"/>
            </w:pPr>
            <w:r>
              <w:t xml:space="preserve">147.9</w:t>
            </w:r>
          </w:p>
        </w:tc>
        <w:tc>
          <w:tcPr/>
          <w:p>
            <w:pPr>
              <w:pStyle w:val="Compact"/>
              <w:jc w:val="right"/>
            </w:pPr>
            <w:r>
              <w:t xml:space="preserve">96.1</w:t>
            </w:r>
          </w:p>
        </w:tc>
        <w:tc>
          <w:tcPr/>
          <w:p>
            <w:pPr>
              <w:pStyle w:val="Compact"/>
              <w:jc w:val="right"/>
            </w:pPr>
            <w:r>
              <w:t xml:space="preserve">160.5</w:t>
            </w:r>
          </w:p>
        </w:tc>
        <w:tc>
          <w:tcPr/>
          <w:p>
            <w:pPr>
              <w:pStyle w:val="Compact"/>
              <w:jc w:val="right"/>
            </w:pPr>
            <w:r>
              <w:t xml:space="preserve">111.7</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109.7</w:t>
            </w:r>
          </w:p>
        </w:tc>
        <w:tc>
          <w:tcPr/>
          <w:p>
            <w:pPr>
              <w:pStyle w:val="Compact"/>
              <w:jc w:val="right"/>
            </w:pPr>
            <w:r>
              <w:t xml:space="preserve">90.7</w:t>
            </w:r>
          </w:p>
        </w:tc>
        <w:tc>
          <w:tcPr/>
          <w:p>
            <w:pPr>
              <w:pStyle w:val="Compact"/>
              <w:jc w:val="right"/>
            </w:pPr>
            <w:r>
              <w:t xml:space="preserve">96.0</w:t>
            </w:r>
          </w:p>
        </w:tc>
        <w:tc>
          <w:tcPr/>
          <w:p>
            <w:pPr>
              <w:pStyle w:val="Compact"/>
              <w:jc w:val="right"/>
            </w:pPr>
            <w:r>
              <w:t xml:space="preserve">147.8</w:t>
            </w:r>
          </w:p>
        </w:tc>
        <w:tc>
          <w:tcPr/>
          <w:p>
            <w:pPr>
              <w:pStyle w:val="Compact"/>
              <w:jc w:val="right"/>
            </w:pPr>
            <w:r>
              <w:t xml:space="preserve">104.4</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105.2</w:t>
            </w:r>
          </w:p>
        </w:tc>
        <w:tc>
          <w:tcPr/>
          <w:p>
            <w:pPr>
              <w:pStyle w:val="Compact"/>
              <w:jc w:val="right"/>
            </w:pPr>
            <w:r>
              <w:t xml:space="preserve">98.6</w:t>
            </w:r>
          </w:p>
        </w:tc>
        <w:tc>
          <w:tcPr/>
          <w:p>
            <w:pPr>
              <w:pStyle w:val="Compact"/>
              <w:jc w:val="right"/>
            </w:pPr>
            <w:r>
              <w:t xml:space="preserve">83.7</w:t>
            </w:r>
          </w:p>
        </w:tc>
        <w:tc>
          <w:tcPr/>
          <w:p>
            <w:pPr>
              <w:pStyle w:val="Compact"/>
              <w:jc w:val="right"/>
            </w:pPr>
            <w:r>
              <w:t xml:space="preserve">146.6</w:t>
            </w:r>
          </w:p>
        </w:tc>
        <w:tc>
          <w:tcPr/>
          <w:p>
            <w:pPr>
              <w:pStyle w:val="Compact"/>
              <w:jc w:val="right"/>
            </w:pPr>
            <w:r>
              <w:t xml:space="preserve">92.0</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96.8</w:t>
            </w:r>
          </w:p>
        </w:tc>
        <w:tc>
          <w:tcPr/>
          <w:p>
            <w:pPr>
              <w:pStyle w:val="Compact"/>
              <w:jc w:val="right"/>
            </w:pPr>
            <w:r>
              <w:t xml:space="preserve">56.2</w:t>
            </w:r>
          </w:p>
        </w:tc>
        <w:tc>
          <w:tcPr/>
          <w:p>
            <w:pPr>
              <w:pStyle w:val="Compact"/>
              <w:jc w:val="right"/>
            </w:pPr>
            <w:r>
              <w:t xml:space="preserve">76.1</w:t>
            </w:r>
          </w:p>
        </w:tc>
        <w:tc>
          <w:tcPr/>
          <w:p>
            <w:pPr>
              <w:pStyle w:val="Compact"/>
              <w:jc w:val="right"/>
            </w:pPr>
            <w:r>
              <w:t xml:space="preserve">167.5</w:t>
            </w:r>
          </w:p>
        </w:tc>
        <w:tc>
          <w:tcPr/>
          <w:p>
            <w:pPr>
              <w:pStyle w:val="Compact"/>
              <w:jc w:val="right"/>
            </w:pPr>
            <w:r>
              <w:t xml:space="preserve">87.4</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90.5</w:t>
            </w:r>
          </w:p>
        </w:tc>
        <w:tc>
          <w:tcPr/>
          <w:p>
            <w:pPr>
              <w:pStyle w:val="Compact"/>
              <w:jc w:val="right"/>
            </w:pPr>
            <w:r>
              <w:t xml:space="preserve">73.2</w:t>
            </w:r>
          </w:p>
        </w:tc>
        <w:tc>
          <w:tcPr/>
          <w:p>
            <w:pPr>
              <w:pStyle w:val="Compact"/>
              <w:jc w:val="right"/>
            </w:pPr>
            <w:r>
              <w:t xml:space="preserve">80.4</w:t>
            </w:r>
          </w:p>
        </w:tc>
        <w:tc>
          <w:tcPr/>
          <w:p>
            <w:pPr>
              <w:pStyle w:val="Compact"/>
              <w:jc w:val="right"/>
            </w:pPr>
            <w:r>
              <w:t xml:space="preserve">125.8</w:t>
            </w:r>
          </w:p>
        </w:tc>
        <w:tc>
          <w:tcPr/>
          <w:p>
            <w:pPr>
              <w:pStyle w:val="Compact"/>
              <w:jc w:val="right"/>
            </w:pPr>
            <w:r>
              <w:t xml:space="preserve">82.5</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86.1</w:t>
            </w:r>
          </w:p>
        </w:tc>
        <w:tc>
          <w:tcPr/>
          <w:p>
            <w:pPr>
              <w:pStyle w:val="Compact"/>
              <w:jc w:val="right"/>
            </w:pPr>
            <w:r>
              <w:t xml:space="preserve">67.4</w:t>
            </w:r>
          </w:p>
        </w:tc>
        <w:tc>
          <w:tcPr/>
          <w:p>
            <w:pPr>
              <w:pStyle w:val="Compact"/>
              <w:jc w:val="right"/>
            </w:pPr>
            <w:r>
              <w:t xml:space="preserve">78.1</w:t>
            </w:r>
          </w:p>
        </w:tc>
        <w:tc>
          <w:tcPr/>
          <w:p>
            <w:pPr>
              <w:pStyle w:val="Compact"/>
              <w:jc w:val="right"/>
            </w:pPr>
            <w:r>
              <w:t xml:space="preserve">113.0</w:t>
            </w:r>
          </w:p>
        </w:tc>
        <w:tc>
          <w:tcPr/>
          <w:p>
            <w:pPr>
              <w:pStyle w:val="Compact"/>
              <w:jc w:val="right"/>
            </w:pPr>
            <w:r>
              <w:t xml:space="preserve">86.0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Imatra (Kunnat)</dc:title>
  <dc:creator>Diakin karttasovellus 2022-02-22 20:07:26</dc:creator>
  <cp:keywords/>
  <dcterms:created xsi:type="dcterms:W3CDTF">2022-02-22T18:08:46Z</dcterms:created>
  <dcterms:modified xsi:type="dcterms:W3CDTF">2022-02-22T18:08:46Z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