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Jakobstadsregionen</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19:54:49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19:54:49.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Jakobstadsregionen. Lisäksi tarkastelussa ovat rajanaapurit: Seinäjoki, Järviseutu, Vaasa, Jakobstadsregionen, Kaustinen ja Kokkola.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jakobstadsregionen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jakobstadsregionen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98.4</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Vaasa (naapuri)</w:t>
            </w:r>
          </w:p>
        </w:tc>
        <w:tc>
          <w:tcPr/>
          <w:p>
            <w:pPr>
              <w:pStyle w:val="Compact"/>
              <w:jc w:val="right"/>
            </w:pPr>
            <w:r>
              <w:t xml:space="preserve">78.8</w:t>
            </w:r>
          </w:p>
        </w:tc>
        <w:tc>
          <w:tcPr/>
          <w:p>
            <w:pPr>
              <w:pStyle w:val="Compact"/>
              <w:jc w:val="right"/>
            </w:pPr>
            <w:r>
              <w:t xml:space="preserve">61</w:t>
            </w:r>
          </w:p>
        </w:tc>
      </w:tr>
      <w:tr>
        <w:tc>
          <w:tcPr/>
          <w:p>
            <w:pPr>
              <w:pStyle w:val="Compact"/>
              <w:jc w:val="left"/>
            </w:pPr>
            <w:r>
              <w:t xml:space="preserve">Järviseutu (naapuri)</w:t>
            </w:r>
          </w:p>
        </w:tc>
        <w:tc>
          <w:tcPr/>
          <w:p>
            <w:pPr>
              <w:pStyle w:val="Compact"/>
              <w:jc w:val="right"/>
            </w:pPr>
            <w:r>
              <w:t xml:space="preserve">78.4</w:t>
            </w:r>
          </w:p>
        </w:tc>
        <w:tc>
          <w:tcPr/>
          <w:p>
            <w:pPr>
              <w:pStyle w:val="Compact"/>
              <w:jc w:val="right"/>
            </w:pPr>
            <w:r>
              <w:t xml:space="preserve">62</w:t>
            </w:r>
          </w:p>
        </w:tc>
      </w:tr>
      <w:tr>
        <w:tc>
          <w:tcPr/>
          <w:p>
            <w:pPr>
              <w:pStyle w:val="Compact"/>
              <w:jc w:val="left"/>
            </w:pPr>
            <w:r>
              <w:t xml:space="preserve">Kaustinen (naapuri)</w:t>
            </w:r>
          </w:p>
        </w:tc>
        <w:tc>
          <w:tcPr/>
          <w:p>
            <w:pPr>
              <w:pStyle w:val="Compact"/>
              <w:jc w:val="right"/>
            </w:pPr>
            <w:r>
              <w:t xml:space="preserve">71.2</w:t>
            </w:r>
          </w:p>
        </w:tc>
        <w:tc>
          <w:tcPr/>
          <w:p>
            <w:pPr>
              <w:pStyle w:val="Compact"/>
              <w:jc w:val="right"/>
            </w:pPr>
            <w:r>
              <w:t xml:space="preserve">64</w:t>
            </w:r>
          </w:p>
        </w:tc>
      </w:tr>
      <w:tr>
        <w:tc>
          <w:tcPr/>
          <w:p>
            <w:pPr>
              <w:pStyle w:val="Compact"/>
              <w:jc w:val="left"/>
            </w:pPr>
            <w:r>
              <w:t xml:space="preserve">Jakobstadsregionen (valittu)</w:t>
            </w:r>
          </w:p>
        </w:tc>
        <w:tc>
          <w:tcPr/>
          <w:p>
            <w:pPr>
              <w:pStyle w:val="Compact"/>
              <w:jc w:val="right"/>
            </w:pPr>
            <w:r>
              <w:t xml:space="preserve">61.3</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Vaasa (naapuri)</w:t>
            </w:r>
          </w:p>
        </w:tc>
        <w:tc>
          <w:tcPr/>
          <w:p>
            <w:pPr>
              <w:pStyle w:val="Compact"/>
              <w:jc w:val="right"/>
            </w:pPr>
            <w:r>
              <w:t xml:space="preserve">78.6</w:t>
            </w:r>
          </w:p>
        </w:tc>
        <w:tc>
          <w:tcPr/>
          <w:p>
            <w:pPr>
              <w:pStyle w:val="Compact"/>
              <w:jc w:val="right"/>
            </w:pPr>
            <w:r>
              <w:t xml:space="preserve">55</w:t>
            </w:r>
          </w:p>
        </w:tc>
      </w:tr>
      <w:tr>
        <w:tc>
          <w:tcPr/>
          <w:p>
            <w:pPr>
              <w:pStyle w:val="Compact"/>
              <w:jc w:val="left"/>
            </w:pPr>
            <w:r>
              <w:t xml:space="preserve">Kokkola (naapuri)</w:t>
            </w:r>
          </w:p>
        </w:tc>
        <w:tc>
          <w:tcPr/>
          <w:p>
            <w:pPr>
              <w:pStyle w:val="Compact"/>
              <w:jc w:val="right"/>
            </w:pPr>
            <w:r>
              <w:t xml:space="preserve">78.3</w:t>
            </w:r>
          </w:p>
        </w:tc>
        <w:tc>
          <w:tcPr/>
          <w:p>
            <w:pPr>
              <w:pStyle w:val="Compact"/>
              <w:jc w:val="right"/>
            </w:pPr>
            <w:r>
              <w:t xml:space="preserve">56</w:t>
            </w:r>
          </w:p>
        </w:tc>
      </w:tr>
      <w:tr>
        <w:tc>
          <w:tcPr/>
          <w:p>
            <w:pPr>
              <w:pStyle w:val="Compact"/>
              <w:jc w:val="left"/>
            </w:pPr>
            <w:r>
              <w:t xml:space="preserve">Järviseutu (naapuri)</w:t>
            </w:r>
          </w:p>
        </w:tc>
        <w:tc>
          <w:tcPr/>
          <w:p>
            <w:pPr>
              <w:pStyle w:val="Compact"/>
              <w:jc w:val="right"/>
            </w:pPr>
            <w:r>
              <w:t xml:space="preserve">72.4</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70.0</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62.8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106.8</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Vaasa (naapuri)</w:t>
            </w:r>
          </w:p>
        </w:tc>
        <w:tc>
          <w:tcPr/>
          <w:p>
            <w:pPr>
              <w:pStyle w:val="Compact"/>
              <w:jc w:val="right"/>
            </w:pPr>
            <w:r>
              <w:t xml:space="preserve">86.0</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70.2</w:t>
            </w:r>
          </w:p>
        </w:tc>
        <w:tc>
          <w:tcPr/>
          <w:p>
            <w:pPr>
              <w:pStyle w:val="Compact"/>
              <w:jc w:val="right"/>
            </w:pPr>
            <w:r>
              <w:t xml:space="preserve">64</w:t>
            </w:r>
          </w:p>
        </w:tc>
      </w:tr>
      <w:tr>
        <w:tc>
          <w:tcPr/>
          <w:p>
            <w:pPr>
              <w:pStyle w:val="Compact"/>
              <w:jc w:val="left"/>
            </w:pPr>
            <w:r>
              <w:t xml:space="preserve">Jakobstadsregionen (valittu)</w:t>
            </w:r>
          </w:p>
        </w:tc>
        <w:tc>
          <w:tcPr/>
          <w:p>
            <w:pPr>
              <w:pStyle w:val="Compact"/>
              <w:jc w:val="right"/>
            </w:pPr>
            <w:r>
              <w:t xml:space="preserve">65.1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110.3</w:t>
            </w:r>
          </w:p>
        </w:tc>
        <w:tc>
          <w:tcPr/>
          <w:p>
            <w:pPr>
              <w:pStyle w:val="Compact"/>
              <w:jc w:val="right"/>
            </w:pPr>
            <w:r>
              <w:t xml:space="preserve">26</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Järviseutu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61</w:t>
            </w:r>
          </w:p>
        </w:tc>
      </w:tr>
      <w:tr>
        <w:tc>
          <w:tcPr/>
          <w:p>
            <w:pPr>
              <w:pStyle w:val="Compact"/>
              <w:jc w:val="left"/>
            </w:pPr>
            <w:r>
              <w:t xml:space="preserve">Vaasa (naapuri)</w:t>
            </w:r>
          </w:p>
        </w:tc>
        <w:tc>
          <w:tcPr/>
          <w:p>
            <w:pPr>
              <w:pStyle w:val="Compact"/>
              <w:jc w:val="right"/>
            </w:pPr>
            <w:r>
              <w:t xml:space="preserve">71.8</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55.9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jakobstadsregionen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jakobstadsregionen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Jakobstadsregionen (valittu)</w:t>
            </w:r>
          </w:p>
        </w:tc>
        <w:tc>
          <w:tcPr/>
          <w:p>
            <w:pPr>
              <w:pStyle w:val="Compact"/>
              <w:jc w:val="right"/>
            </w:pPr>
            <w:r>
              <w:t xml:space="preserve">107.8</w:t>
            </w:r>
          </w:p>
        </w:tc>
        <w:tc>
          <w:tcPr/>
          <w:p>
            <w:pPr>
              <w:pStyle w:val="Compact"/>
              <w:jc w:val="right"/>
            </w:pPr>
            <w:r>
              <w:t xml:space="preserve">21</w:t>
            </w:r>
          </w:p>
        </w:tc>
      </w:tr>
      <w:tr>
        <w:tc>
          <w:tcPr/>
          <w:p>
            <w:pPr>
              <w:pStyle w:val="Compact"/>
              <w:jc w:val="left"/>
            </w:pPr>
            <w:r>
              <w:t xml:space="preserve">Järviseutu (naapuri)</w:t>
            </w:r>
          </w:p>
        </w:tc>
        <w:tc>
          <w:tcPr/>
          <w:p>
            <w:pPr>
              <w:pStyle w:val="Compact"/>
              <w:jc w:val="right"/>
            </w:pPr>
            <w:r>
              <w:t xml:space="preserve">101.5</w:t>
            </w:r>
          </w:p>
        </w:tc>
        <w:tc>
          <w:tcPr/>
          <w:p>
            <w:pPr>
              <w:pStyle w:val="Compact"/>
              <w:jc w:val="right"/>
            </w:pPr>
            <w:r>
              <w:t xml:space="preserve">31</w:t>
            </w:r>
          </w:p>
        </w:tc>
      </w:tr>
      <w:tr>
        <w:tc>
          <w:tcPr/>
          <w:p>
            <w:pPr>
              <w:pStyle w:val="Compact"/>
              <w:jc w:val="left"/>
            </w:pPr>
            <w:r>
              <w:t xml:space="preserve">Kaustinen (naapuri)</w:t>
            </w:r>
          </w:p>
        </w:tc>
        <w:tc>
          <w:tcPr/>
          <w:p>
            <w:pPr>
              <w:pStyle w:val="Compact"/>
              <w:jc w:val="right"/>
            </w:pPr>
            <w:r>
              <w:t xml:space="preserve">82.5</w:t>
            </w:r>
          </w:p>
        </w:tc>
        <w:tc>
          <w:tcPr/>
          <w:p>
            <w:pPr>
              <w:pStyle w:val="Compact"/>
              <w:jc w:val="right"/>
            </w:pPr>
            <w:r>
              <w:t xml:space="preserve">51</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Kokkola (naapuri)</w:t>
            </w:r>
          </w:p>
        </w:tc>
        <w:tc>
          <w:tcPr/>
          <w:p>
            <w:pPr>
              <w:pStyle w:val="Compact"/>
              <w:jc w:val="right"/>
            </w:pPr>
            <w:r>
              <w:t xml:space="preserve">71.0</w:t>
            </w:r>
          </w:p>
        </w:tc>
        <w:tc>
          <w:tcPr/>
          <w:p>
            <w:pPr>
              <w:pStyle w:val="Compact"/>
              <w:jc w:val="right"/>
            </w:pPr>
            <w:r>
              <w:t xml:space="preserve">60</w:t>
            </w:r>
          </w:p>
        </w:tc>
      </w:tr>
      <w:tr>
        <w:tc>
          <w:tcPr/>
          <w:p>
            <w:pPr>
              <w:pStyle w:val="Compact"/>
              <w:jc w:val="left"/>
            </w:pPr>
            <w:r>
              <w:t xml:space="preserve">Vaasa (naapuri)</w:t>
            </w:r>
          </w:p>
        </w:tc>
        <w:tc>
          <w:tcPr/>
          <w:p>
            <w:pPr>
              <w:pStyle w:val="Compact"/>
              <w:jc w:val="right"/>
            </w:pPr>
            <w:r>
              <w:t xml:space="preserve">67.7</w:t>
            </w:r>
          </w:p>
        </w:tc>
        <w:tc>
          <w:tcPr/>
          <w:p>
            <w:pPr>
              <w:pStyle w:val="Compact"/>
              <w:jc w:val="right"/>
            </w:pPr>
            <w:r>
              <w:t xml:space="preserve">64</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91.9</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Järviseutu (naapuri)</w:t>
            </w:r>
          </w:p>
        </w:tc>
        <w:tc>
          <w:tcPr/>
          <w:p>
            <w:pPr>
              <w:pStyle w:val="Compact"/>
              <w:jc w:val="right"/>
            </w:pPr>
            <w:r>
              <w:t xml:space="preserve">82.1</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72.0</w:t>
            </w:r>
          </w:p>
        </w:tc>
        <w:tc>
          <w:tcPr/>
          <w:p>
            <w:pPr>
              <w:pStyle w:val="Compact"/>
              <w:jc w:val="right"/>
            </w:pPr>
            <w:r>
              <w:t xml:space="preserve">60</w:t>
            </w:r>
          </w:p>
        </w:tc>
      </w:tr>
      <w:tr>
        <w:tc>
          <w:tcPr/>
          <w:p>
            <w:pPr>
              <w:pStyle w:val="Compact"/>
              <w:jc w:val="left"/>
            </w:pPr>
            <w:r>
              <w:t xml:space="preserve">Vaasa (naapuri)</w:t>
            </w:r>
          </w:p>
        </w:tc>
        <w:tc>
          <w:tcPr/>
          <w:p>
            <w:pPr>
              <w:pStyle w:val="Compact"/>
              <w:jc w:val="right"/>
            </w:pPr>
            <w:r>
              <w:t xml:space="preserve">66.7</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43.5</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Kokkola (naapuri)</w:t>
            </w:r>
          </w:p>
        </w:tc>
        <w:tc>
          <w:tcPr/>
          <w:p>
            <w:pPr>
              <w:pStyle w:val="Compact"/>
              <w:jc w:val="right"/>
            </w:pPr>
            <w:r>
              <w:t xml:space="preserve">73.5</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56</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Jakobstadsregionen (valittu)</w:t>
            </w:r>
          </w:p>
        </w:tc>
        <w:tc>
          <w:tcPr/>
          <w:p>
            <w:pPr>
              <w:pStyle w:val="Compact"/>
              <w:jc w:val="right"/>
            </w:pPr>
            <w:r>
              <w:t xml:space="preserve">41.0</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36.1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Vaasa (naapuri)</w:t>
            </w:r>
          </w:p>
        </w:tc>
        <w:tc>
          <w:tcPr/>
          <w:p>
            <w:pPr>
              <w:pStyle w:val="Compact"/>
              <w:jc w:val="right"/>
            </w:pPr>
            <w:r>
              <w:t xml:space="preserve">81.2</w:t>
            </w:r>
          </w:p>
        </w:tc>
        <w:tc>
          <w:tcPr/>
          <w:p>
            <w:pPr>
              <w:pStyle w:val="Compact"/>
              <w:jc w:val="right"/>
            </w:pPr>
            <w:r>
              <w:t xml:space="preserve">45</w:t>
            </w:r>
          </w:p>
        </w:tc>
      </w:tr>
      <w:tr>
        <w:tc>
          <w:tcPr/>
          <w:p>
            <w:pPr>
              <w:pStyle w:val="Compact"/>
              <w:jc w:val="left"/>
            </w:pPr>
            <w:r>
              <w:t xml:space="preserve">Kokkola (naapuri)</w:t>
            </w:r>
          </w:p>
        </w:tc>
        <w:tc>
          <w:tcPr/>
          <w:p>
            <w:pPr>
              <w:pStyle w:val="Compact"/>
              <w:jc w:val="right"/>
            </w:pPr>
            <w:r>
              <w:t xml:space="preserve">68.1</w:t>
            </w:r>
          </w:p>
        </w:tc>
        <w:tc>
          <w:tcPr/>
          <w:p>
            <w:pPr>
              <w:pStyle w:val="Compact"/>
              <w:jc w:val="right"/>
            </w:pPr>
            <w:r>
              <w:t xml:space="preserve">51</w:t>
            </w:r>
          </w:p>
        </w:tc>
      </w:tr>
      <w:tr>
        <w:tc>
          <w:tcPr/>
          <w:p>
            <w:pPr>
              <w:pStyle w:val="Compact"/>
              <w:jc w:val="left"/>
            </w:pPr>
            <w:r>
              <w:t xml:space="preserve">Kaustinen (naapuri)</w:t>
            </w:r>
          </w:p>
        </w:tc>
        <w:tc>
          <w:tcPr/>
          <w:p>
            <w:pPr>
              <w:pStyle w:val="Compact"/>
              <w:jc w:val="right"/>
            </w:pPr>
            <w:r>
              <w:t xml:space="preserve">58.0</w:t>
            </w:r>
          </w:p>
        </w:tc>
        <w:tc>
          <w:tcPr/>
          <w:p>
            <w:pPr>
              <w:pStyle w:val="Compact"/>
              <w:jc w:val="right"/>
            </w:pPr>
            <w:r>
              <w:t xml:space="preserve">52</w:t>
            </w:r>
          </w:p>
        </w:tc>
      </w:tr>
      <w:tr>
        <w:tc>
          <w:tcPr/>
          <w:p>
            <w:pPr>
              <w:pStyle w:val="Compact"/>
              <w:jc w:val="left"/>
            </w:pPr>
            <w:r>
              <w:t xml:space="preserve">Jakobstadsregionen (valittu)</w:t>
            </w:r>
          </w:p>
        </w:tc>
        <w:tc>
          <w:tcPr/>
          <w:p>
            <w:pPr>
              <w:pStyle w:val="Compact"/>
              <w:jc w:val="right"/>
            </w:pPr>
            <w:r>
              <w:t xml:space="preserve">55.1</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52.2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88.1</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Kokkola (naapuri)</w:t>
            </w:r>
          </w:p>
        </w:tc>
        <w:tc>
          <w:tcPr/>
          <w:p>
            <w:pPr>
              <w:pStyle w:val="Compact"/>
              <w:jc w:val="right"/>
            </w:pPr>
            <w:r>
              <w:t xml:space="preserve">84.7</w:t>
            </w:r>
          </w:p>
        </w:tc>
        <w:tc>
          <w:tcPr/>
          <w:p>
            <w:pPr>
              <w:pStyle w:val="Compact"/>
              <w:jc w:val="right"/>
            </w:pPr>
            <w:r>
              <w:t xml:space="preserve">44</w:t>
            </w:r>
          </w:p>
        </w:tc>
      </w:tr>
      <w:tr>
        <w:tc>
          <w:tcPr/>
          <w:p>
            <w:pPr>
              <w:pStyle w:val="Compact"/>
              <w:jc w:val="left"/>
            </w:pPr>
            <w:r>
              <w:t xml:space="preserve">Jakobstadsregionen (valittu)</w:t>
            </w:r>
          </w:p>
        </w:tc>
        <w:tc>
          <w:tcPr/>
          <w:p>
            <w:pPr>
              <w:pStyle w:val="Compact"/>
              <w:jc w:val="right"/>
            </w:pPr>
            <w:r>
              <w:t xml:space="preserve">62.7</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57.6</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47.5</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Järviseutu (naapuri)</w:t>
            </w:r>
          </w:p>
        </w:tc>
        <w:tc>
          <w:tcPr/>
          <w:p>
            <w:pPr>
              <w:pStyle w:val="Compact"/>
              <w:jc w:val="right"/>
            </w:pPr>
            <w:r>
              <w:t xml:space="preserve">105.2</w:t>
            </w:r>
          </w:p>
        </w:tc>
        <w:tc>
          <w:tcPr/>
          <w:p>
            <w:pPr>
              <w:pStyle w:val="Compact"/>
              <w:jc w:val="right"/>
            </w:pPr>
            <w:r>
              <w:t xml:space="preserve">27</w:t>
            </w:r>
          </w:p>
        </w:tc>
      </w:tr>
      <w:tr>
        <w:tc>
          <w:tcPr/>
          <w:p>
            <w:pPr>
              <w:pStyle w:val="Compact"/>
              <w:jc w:val="left"/>
            </w:pPr>
            <w:r>
              <w:t xml:space="preserve">Kaustinen (naapuri)</w:t>
            </w:r>
          </w:p>
        </w:tc>
        <w:tc>
          <w:tcPr/>
          <w:p>
            <w:pPr>
              <w:pStyle w:val="Compact"/>
              <w:jc w:val="right"/>
            </w:pPr>
            <w:r>
              <w:t xml:space="preserve">97.6</w:t>
            </w:r>
          </w:p>
        </w:tc>
        <w:tc>
          <w:tcPr/>
          <w:p>
            <w:pPr>
              <w:pStyle w:val="Compact"/>
              <w:jc w:val="right"/>
            </w:pPr>
            <w:r>
              <w:t xml:space="preserve">37</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49</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Kokkola (naapuri)</w:t>
            </w:r>
          </w:p>
        </w:tc>
        <w:tc>
          <w:tcPr/>
          <w:p>
            <w:pPr>
              <w:pStyle w:val="Compact"/>
              <w:jc w:val="right"/>
            </w:pPr>
            <w:r>
              <w:t xml:space="preserve">80.2</w:t>
            </w:r>
          </w:p>
        </w:tc>
        <w:tc>
          <w:tcPr/>
          <w:p>
            <w:pPr>
              <w:pStyle w:val="Compact"/>
              <w:jc w:val="right"/>
            </w:pPr>
            <w:r>
              <w:t xml:space="preserve">57</w:t>
            </w:r>
          </w:p>
        </w:tc>
      </w:tr>
      <w:tr>
        <w:tc>
          <w:tcPr/>
          <w:p>
            <w:pPr>
              <w:pStyle w:val="Compact"/>
              <w:jc w:val="left"/>
            </w:pPr>
            <w:r>
              <w:t xml:space="preserve">Jakobstadsregionen (valittu)</w:t>
            </w:r>
          </w:p>
        </w:tc>
        <w:tc>
          <w:tcPr/>
          <w:p>
            <w:pPr>
              <w:pStyle w:val="Compact"/>
              <w:jc w:val="right"/>
            </w:pPr>
            <w:r>
              <w:t xml:space="preserve">66.7</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jakobstadsregionen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jakobstadsregionen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Järviseutu (naapuri)</w:t>
            </w:r>
          </w:p>
        </w:tc>
        <w:tc>
          <w:tcPr/>
          <w:p>
            <w:pPr>
              <w:pStyle w:val="Compact"/>
              <w:jc w:val="right"/>
            </w:pPr>
            <w:r>
              <w:t xml:space="preserve">75.0</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56.2</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43.7</w:t>
            </w:r>
          </w:p>
        </w:tc>
        <w:tc>
          <w:tcPr/>
          <w:p>
            <w:pPr>
              <w:pStyle w:val="Compact"/>
              <w:jc w:val="right"/>
            </w:pPr>
            <w:r>
              <w:t xml:space="preserve">64</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126.3</w:t>
            </w:r>
          </w:p>
        </w:tc>
        <w:tc>
          <w:tcPr/>
          <w:p>
            <w:pPr>
              <w:pStyle w:val="Compact"/>
              <w:jc w:val="right"/>
            </w:pPr>
            <w:r>
              <w:t xml:space="preserve">9</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Vaasa (naapuri)</w:t>
            </w:r>
          </w:p>
        </w:tc>
        <w:tc>
          <w:tcPr/>
          <w:p>
            <w:pPr>
              <w:pStyle w:val="Compact"/>
              <w:jc w:val="right"/>
            </w:pPr>
            <w:r>
              <w:t xml:space="preserve">103.6</w:t>
            </w:r>
          </w:p>
        </w:tc>
        <w:tc>
          <w:tcPr/>
          <w:p>
            <w:pPr>
              <w:pStyle w:val="Compact"/>
              <w:jc w:val="right"/>
            </w:pPr>
            <w:r>
              <w:t xml:space="preserve">29</w:t>
            </w:r>
          </w:p>
        </w:tc>
      </w:tr>
      <w:tr>
        <w:tc>
          <w:tcPr/>
          <w:p>
            <w:pPr>
              <w:pStyle w:val="Compact"/>
              <w:jc w:val="left"/>
            </w:pPr>
            <w:r>
              <w:t xml:space="preserve">Jakobstadsregionen (valittu)</w:t>
            </w:r>
          </w:p>
        </w:tc>
        <w:tc>
          <w:tcPr/>
          <w:p>
            <w:pPr>
              <w:pStyle w:val="Compact"/>
              <w:jc w:val="right"/>
            </w:pPr>
            <w:r>
              <w:t xml:space="preserve">84.4</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76.6</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62.9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131.7</w:t>
            </w:r>
          </w:p>
        </w:tc>
        <w:tc>
          <w:tcPr/>
          <w:p>
            <w:pPr>
              <w:pStyle w:val="Compact"/>
              <w:jc w:val="right"/>
            </w:pPr>
            <w:r>
              <w:t xml:space="preserve">12</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Vaasa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Kaustinen (naapuri)</w:t>
            </w:r>
          </w:p>
        </w:tc>
        <w:tc>
          <w:tcPr/>
          <w:p>
            <w:pPr>
              <w:pStyle w:val="Compact"/>
              <w:jc w:val="right"/>
            </w:pPr>
            <w:r>
              <w:t xml:space="preserve">88.5</w:t>
            </w:r>
          </w:p>
        </w:tc>
        <w:tc>
          <w:tcPr/>
          <w:p>
            <w:pPr>
              <w:pStyle w:val="Compact"/>
              <w:jc w:val="right"/>
            </w:pPr>
            <w:r>
              <w:t xml:space="preserve">48</w:t>
            </w:r>
          </w:p>
        </w:tc>
      </w:tr>
      <w:tr>
        <w:tc>
          <w:tcPr/>
          <w:p>
            <w:pPr>
              <w:pStyle w:val="Compact"/>
              <w:jc w:val="left"/>
            </w:pPr>
            <w:r>
              <w:t xml:space="preserve">Jakobstadsregionen (valittu)</w:t>
            </w:r>
          </w:p>
        </w:tc>
        <w:tc>
          <w:tcPr/>
          <w:p>
            <w:pPr>
              <w:pStyle w:val="Compact"/>
              <w:jc w:val="right"/>
            </w:pPr>
            <w:r>
              <w:t xml:space="preserve">62.3</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61.8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102.3</w:t>
            </w:r>
          </w:p>
        </w:tc>
        <w:tc>
          <w:tcPr/>
          <w:p>
            <w:pPr>
              <w:pStyle w:val="Compact"/>
              <w:jc w:val="right"/>
            </w:pPr>
            <w:r>
              <w:t xml:space="preserve">29</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Kaustinen (naapuri)</w:t>
            </w:r>
          </w:p>
        </w:tc>
        <w:tc>
          <w:tcPr/>
          <w:p>
            <w:pPr>
              <w:pStyle w:val="Compact"/>
              <w:jc w:val="right"/>
            </w:pPr>
            <w:r>
              <w:t xml:space="preserve">92.3</w:t>
            </w:r>
          </w:p>
        </w:tc>
        <w:tc>
          <w:tcPr/>
          <w:p>
            <w:pPr>
              <w:pStyle w:val="Compact"/>
              <w:jc w:val="right"/>
            </w:pPr>
            <w:r>
              <w:t xml:space="preserve">47</w:t>
            </w:r>
          </w:p>
        </w:tc>
      </w:tr>
      <w:tr>
        <w:tc>
          <w:tcPr/>
          <w:p>
            <w:pPr>
              <w:pStyle w:val="Compact"/>
              <w:jc w:val="left"/>
            </w:pPr>
            <w:r>
              <w:t xml:space="preserve">Järviseutu (naapuri)</w:t>
            </w:r>
          </w:p>
        </w:tc>
        <w:tc>
          <w:tcPr/>
          <w:p>
            <w:pPr>
              <w:pStyle w:val="Compact"/>
              <w:jc w:val="right"/>
            </w:pPr>
            <w:r>
              <w:t xml:space="preserve">81.2</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71.6</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70.0</w:t>
            </w:r>
          </w:p>
        </w:tc>
        <w:tc>
          <w:tcPr/>
          <w:p>
            <w:pPr>
              <w:pStyle w:val="Compact"/>
              <w:jc w:val="right"/>
            </w:pPr>
            <w:r>
              <w:t xml:space="preserve">63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jakobstadsregionen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jakobstadsregionen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91.9</w:t>
            </w:r>
          </w:p>
        </w:tc>
        <w:tc>
          <w:tcPr/>
          <w:p>
            <w:pPr>
              <w:pStyle w:val="Compact"/>
              <w:jc w:val="right"/>
            </w:pPr>
            <w:r>
              <w:t xml:space="preserve">36</w:t>
            </w:r>
          </w:p>
        </w:tc>
      </w:tr>
      <w:tr>
        <w:tc>
          <w:tcPr/>
          <w:p>
            <w:pPr>
              <w:pStyle w:val="Compact"/>
              <w:jc w:val="left"/>
            </w:pPr>
            <w:r>
              <w:t xml:space="preserve">Vaasa (naapuri)</w:t>
            </w:r>
          </w:p>
        </w:tc>
        <w:tc>
          <w:tcPr/>
          <w:p>
            <w:pPr>
              <w:pStyle w:val="Compact"/>
              <w:jc w:val="right"/>
            </w:pPr>
            <w:r>
              <w:t xml:space="preserve">88.5</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Järviseutu (naapuri)</w:t>
            </w:r>
          </w:p>
        </w:tc>
        <w:tc>
          <w:tcPr/>
          <w:p>
            <w:pPr>
              <w:pStyle w:val="Compact"/>
              <w:jc w:val="right"/>
            </w:pPr>
            <w:r>
              <w:t xml:space="preserve">56.8</w:t>
            </w:r>
          </w:p>
        </w:tc>
        <w:tc>
          <w:tcPr/>
          <w:p>
            <w:pPr>
              <w:pStyle w:val="Compact"/>
              <w:jc w:val="right"/>
            </w:pPr>
            <w:r>
              <w:t xml:space="preserve">56</w:t>
            </w:r>
          </w:p>
        </w:tc>
      </w:tr>
      <w:tr>
        <w:tc>
          <w:tcPr/>
          <w:p>
            <w:pPr>
              <w:pStyle w:val="Compact"/>
              <w:jc w:val="left"/>
            </w:pPr>
            <w:r>
              <w:t xml:space="preserve">Kaustinen (naapuri)</w:t>
            </w:r>
          </w:p>
        </w:tc>
        <w:tc>
          <w:tcPr/>
          <w:p>
            <w:pPr>
              <w:pStyle w:val="Compact"/>
              <w:jc w:val="right"/>
            </w:pPr>
            <w:r>
              <w:t xml:space="preserve">55.0</w:t>
            </w:r>
          </w:p>
        </w:tc>
        <w:tc>
          <w:tcPr/>
          <w:p>
            <w:pPr>
              <w:pStyle w:val="Compact"/>
              <w:jc w:val="right"/>
            </w:pPr>
            <w:r>
              <w:t xml:space="preserve">60</w:t>
            </w:r>
          </w:p>
        </w:tc>
      </w:tr>
      <w:tr>
        <w:tc>
          <w:tcPr/>
          <w:p>
            <w:pPr>
              <w:pStyle w:val="Compact"/>
              <w:jc w:val="left"/>
            </w:pPr>
            <w:r>
              <w:t xml:space="preserve">Jakobstadsregionen (valittu)</w:t>
            </w:r>
          </w:p>
        </w:tc>
        <w:tc>
          <w:tcPr/>
          <w:p>
            <w:pPr>
              <w:pStyle w:val="Compact"/>
              <w:jc w:val="right"/>
            </w:pPr>
            <w:r>
              <w:t xml:space="preserve">39.7</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Järviseutu (naapuri)</w:t>
            </w:r>
          </w:p>
        </w:tc>
        <w:tc>
          <w:tcPr/>
          <w:p>
            <w:pPr>
              <w:pStyle w:val="Compact"/>
              <w:jc w:val="right"/>
            </w:pPr>
            <w:r>
              <w:t xml:space="preserve">107.4</w:t>
            </w:r>
          </w:p>
        </w:tc>
        <w:tc>
          <w:tcPr/>
          <w:p>
            <w:pPr>
              <w:pStyle w:val="Compact"/>
              <w:jc w:val="right"/>
            </w:pPr>
            <w:r>
              <w:t xml:space="preserve">27</w:t>
            </w:r>
          </w:p>
        </w:tc>
      </w:tr>
      <w:tr>
        <w:tc>
          <w:tcPr/>
          <w:p>
            <w:pPr>
              <w:pStyle w:val="Compact"/>
              <w:jc w:val="left"/>
            </w:pPr>
            <w:r>
              <w:t xml:space="preserve">Kokkola (naapuri)</w:t>
            </w:r>
          </w:p>
        </w:tc>
        <w:tc>
          <w:tcPr/>
          <w:p>
            <w:pPr>
              <w:pStyle w:val="Compact"/>
              <w:jc w:val="right"/>
            </w:pPr>
            <w:r>
              <w:t xml:space="preserve">90.5</w:t>
            </w:r>
          </w:p>
        </w:tc>
        <w:tc>
          <w:tcPr/>
          <w:p>
            <w:pPr>
              <w:pStyle w:val="Compact"/>
              <w:jc w:val="right"/>
            </w:pPr>
            <w:r>
              <w:t xml:space="preserve">42</w:t>
            </w:r>
          </w:p>
        </w:tc>
      </w:tr>
      <w:tr>
        <w:tc>
          <w:tcPr/>
          <w:p>
            <w:pPr>
              <w:pStyle w:val="Compact"/>
              <w:jc w:val="left"/>
            </w:pPr>
            <w:r>
              <w:t xml:space="preserve">Vaasa (naapuri)</w:t>
            </w:r>
          </w:p>
        </w:tc>
        <w:tc>
          <w:tcPr/>
          <w:p>
            <w:pPr>
              <w:pStyle w:val="Compact"/>
              <w:jc w:val="right"/>
            </w:pPr>
            <w:r>
              <w:t xml:space="preserve">70.7</w:t>
            </w:r>
          </w:p>
        </w:tc>
        <w:tc>
          <w:tcPr/>
          <w:p>
            <w:pPr>
              <w:pStyle w:val="Compact"/>
              <w:jc w:val="right"/>
            </w:pPr>
            <w:r>
              <w:t xml:space="preserve">56</w:t>
            </w:r>
          </w:p>
        </w:tc>
      </w:tr>
      <w:tr>
        <w:tc>
          <w:tcPr/>
          <w:p>
            <w:pPr>
              <w:pStyle w:val="Compact"/>
              <w:jc w:val="left"/>
            </w:pPr>
            <w:r>
              <w:t xml:space="preserve">Jakobstadsregionen (valittu)</w:t>
            </w:r>
          </w:p>
        </w:tc>
        <w:tc>
          <w:tcPr/>
          <w:p>
            <w:pPr>
              <w:pStyle w:val="Compact"/>
              <w:jc w:val="right"/>
            </w:pPr>
            <w:r>
              <w:t xml:space="preserve">68.4</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55.7</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Järviseutu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Kokkola (naapuri)</w:t>
            </w:r>
          </w:p>
        </w:tc>
        <w:tc>
          <w:tcPr/>
          <w:p>
            <w:pPr>
              <w:pStyle w:val="Compact"/>
              <w:jc w:val="right"/>
            </w:pPr>
            <w:r>
              <w:t xml:space="preserve">114.0</w:t>
            </w:r>
          </w:p>
        </w:tc>
        <w:tc>
          <w:tcPr/>
          <w:p>
            <w:pPr>
              <w:pStyle w:val="Compact"/>
              <w:jc w:val="right"/>
            </w:pPr>
            <w:r>
              <w:t xml:space="preserve">22</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Vaasa (naapuri)</w:t>
            </w:r>
          </w:p>
        </w:tc>
        <w:tc>
          <w:tcPr/>
          <w:p>
            <w:pPr>
              <w:pStyle w:val="Compact"/>
              <w:jc w:val="right"/>
            </w:pPr>
            <w:r>
              <w:t xml:space="preserve">73.6</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68.0</w:t>
            </w:r>
          </w:p>
        </w:tc>
        <w:tc>
          <w:tcPr/>
          <w:p>
            <w:pPr>
              <w:pStyle w:val="Compact"/>
              <w:jc w:val="right"/>
            </w:pPr>
            <w:r>
              <w:t xml:space="preserve">56</w:t>
            </w:r>
          </w:p>
        </w:tc>
      </w:tr>
      <w:tr>
        <w:tc>
          <w:tcPr/>
          <w:p>
            <w:pPr>
              <w:pStyle w:val="Compact"/>
              <w:jc w:val="left"/>
            </w:pPr>
            <w:r>
              <w:t xml:space="preserve">Jakobstadsregionen (valittu)</w:t>
            </w:r>
          </w:p>
        </w:tc>
        <w:tc>
          <w:tcPr/>
          <w:p>
            <w:pPr>
              <w:pStyle w:val="Compact"/>
              <w:jc w:val="right"/>
            </w:pPr>
            <w:r>
              <w:t xml:space="preserve">44.7</w:t>
            </w:r>
          </w:p>
        </w:tc>
        <w:tc>
          <w:tcPr/>
          <w:p>
            <w:pPr>
              <w:pStyle w:val="Compact"/>
              <w:jc w:val="right"/>
            </w:pPr>
            <w:r>
              <w:t xml:space="preserve">65</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176.4</w:t>
            </w:r>
          </w:p>
        </w:tc>
        <w:tc>
          <w:tcPr/>
          <w:p>
            <w:pPr>
              <w:pStyle w:val="Compact"/>
              <w:jc w:val="right"/>
            </w:pPr>
            <w:r>
              <w:t xml:space="preserve">2</w:t>
            </w:r>
          </w:p>
        </w:tc>
      </w:tr>
      <w:tr>
        <w:tc>
          <w:tcPr/>
          <w:p>
            <w:pPr>
              <w:pStyle w:val="Compact"/>
              <w:jc w:val="left"/>
            </w:pPr>
            <w:r>
              <w:t xml:space="preserve">Kaustinen (naapuri)</w:t>
            </w:r>
          </w:p>
        </w:tc>
        <w:tc>
          <w:tcPr/>
          <w:p>
            <w:pPr>
              <w:pStyle w:val="Compact"/>
              <w:jc w:val="right"/>
            </w:pPr>
            <w:r>
              <w:t xml:space="preserve">102.2</w:t>
            </w:r>
          </w:p>
        </w:tc>
        <w:tc>
          <w:tcPr/>
          <w:p>
            <w:pPr>
              <w:pStyle w:val="Compact"/>
              <w:jc w:val="right"/>
            </w:pPr>
            <w:r>
              <w:t xml:space="preserve">28</w:t>
            </w:r>
          </w:p>
        </w:tc>
      </w:tr>
      <w:tr>
        <w:tc>
          <w:tcPr/>
          <w:p>
            <w:pPr>
              <w:pStyle w:val="Compact"/>
              <w:jc w:val="left"/>
            </w:pPr>
            <w:r>
              <w:t xml:space="preserve">Järviseutu (naapuri)</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Jakobstadsregionen (valittu)</w:t>
            </w:r>
          </w:p>
        </w:tc>
        <w:tc>
          <w:tcPr/>
          <w:p>
            <w:pPr>
              <w:pStyle w:val="Compact"/>
              <w:jc w:val="right"/>
            </w:pPr>
            <w:r>
              <w:t xml:space="preserve">48.3</w:t>
            </w:r>
          </w:p>
        </w:tc>
        <w:tc>
          <w:tcPr/>
          <w:p>
            <w:pPr>
              <w:pStyle w:val="Compact"/>
              <w:jc w:val="right"/>
            </w:pPr>
            <w:r>
              <w:t xml:space="preserve">62</w:t>
            </w:r>
          </w:p>
        </w:tc>
      </w:tr>
      <w:tr>
        <w:tc>
          <w:tcPr/>
          <w:p>
            <w:pPr>
              <w:pStyle w:val="Compact"/>
              <w:jc w:val="left"/>
            </w:pPr>
            <w:r>
              <w:t xml:space="preserve">Vaasa (naapuri)</w:t>
            </w:r>
          </w:p>
        </w:tc>
        <w:tc>
          <w:tcPr/>
          <w:p>
            <w:pPr>
              <w:pStyle w:val="Compact"/>
              <w:jc w:val="right"/>
            </w:pPr>
            <w:r>
              <w:t xml:space="preserve">40.4</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Vaasa (naapuri)</w:t>
            </w:r>
          </w:p>
        </w:tc>
        <w:tc>
          <w:tcPr/>
          <w:p>
            <w:pPr>
              <w:pStyle w:val="Compact"/>
              <w:jc w:val="right"/>
            </w:pPr>
            <w:r>
              <w:t xml:space="preserve">85.7</w:t>
            </w:r>
          </w:p>
        </w:tc>
        <w:tc>
          <w:tcPr/>
          <w:p>
            <w:pPr>
              <w:pStyle w:val="Compact"/>
              <w:jc w:val="right"/>
            </w:pPr>
            <w:r>
              <w:t xml:space="preserve">42</w:t>
            </w:r>
          </w:p>
        </w:tc>
      </w:tr>
      <w:tr>
        <w:tc>
          <w:tcPr/>
          <w:p>
            <w:pPr>
              <w:pStyle w:val="Compact"/>
              <w:jc w:val="left"/>
            </w:pPr>
            <w:r>
              <w:t xml:space="preserve">Jakobstadsregionen (valittu)</w:t>
            </w:r>
          </w:p>
        </w:tc>
        <w:tc>
          <w:tcPr/>
          <w:p>
            <w:pPr>
              <w:pStyle w:val="Compact"/>
              <w:jc w:val="right"/>
            </w:pPr>
            <w:r>
              <w:t xml:space="preserve">78.6</w:t>
            </w:r>
          </w:p>
        </w:tc>
        <w:tc>
          <w:tcPr/>
          <w:p>
            <w:pPr>
              <w:pStyle w:val="Compact"/>
              <w:jc w:val="right"/>
            </w:pPr>
            <w:r>
              <w:t xml:space="preserve">46</w:t>
            </w:r>
          </w:p>
        </w:tc>
      </w:tr>
      <w:tr>
        <w:tc>
          <w:tcPr/>
          <w:p>
            <w:pPr>
              <w:pStyle w:val="Compact"/>
              <w:jc w:val="left"/>
            </w:pPr>
            <w:r>
              <w:t xml:space="preserve">Järviseutu (naapuri)</w:t>
            </w:r>
          </w:p>
        </w:tc>
        <w:tc>
          <w:tcPr/>
          <w:p>
            <w:pPr>
              <w:pStyle w:val="Compact"/>
              <w:jc w:val="right"/>
            </w:pPr>
            <w:r>
              <w:t xml:space="preserve">78.6</w:t>
            </w:r>
          </w:p>
        </w:tc>
        <w:tc>
          <w:tcPr/>
          <w:p>
            <w:pPr>
              <w:pStyle w:val="Compact"/>
              <w:jc w:val="right"/>
            </w:pPr>
            <w:r>
              <w:t xml:space="preserve">47</w:t>
            </w:r>
          </w:p>
        </w:tc>
      </w:tr>
      <w:tr>
        <w:tc>
          <w:tcPr/>
          <w:p>
            <w:pPr>
              <w:pStyle w:val="Compact"/>
              <w:jc w:val="left"/>
            </w:pPr>
            <w:r>
              <w:t xml:space="preserve">Kaustinen (naapuri)</w:t>
            </w:r>
          </w:p>
        </w:tc>
        <w:tc>
          <w:tcPr/>
          <w:p>
            <w:pPr>
              <w:pStyle w:val="Compact"/>
              <w:jc w:val="right"/>
            </w:pPr>
            <w:r>
              <w:t xml:space="preserve">78.6</w:t>
            </w:r>
          </w:p>
        </w:tc>
        <w:tc>
          <w:tcPr/>
          <w:p>
            <w:pPr>
              <w:pStyle w:val="Compact"/>
              <w:jc w:val="right"/>
            </w:pPr>
            <w:r>
              <w:t xml:space="preserve">48</w:t>
            </w:r>
          </w:p>
        </w:tc>
      </w:tr>
      <w:tr>
        <w:tc>
          <w:tcPr/>
          <w:p>
            <w:pPr>
              <w:pStyle w:val="Compact"/>
              <w:jc w:val="left"/>
            </w:pPr>
            <w:r>
              <w:t xml:space="preserve">Kokkola (naapuri)</w:t>
            </w:r>
          </w:p>
        </w:tc>
        <w:tc>
          <w:tcPr/>
          <w:p>
            <w:pPr>
              <w:pStyle w:val="Compact"/>
              <w:jc w:val="right"/>
            </w:pPr>
            <w:r>
              <w:t xml:space="preserve">78.6</w:t>
            </w:r>
          </w:p>
        </w:tc>
        <w:tc>
          <w:tcPr/>
          <w:p>
            <w:pPr>
              <w:pStyle w:val="Compact"/>
              <w:jc w:val="right"/>
            </w:pPr>
            <w:r>
              <w:t xml:space="preserve">49</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jakobstadsregionen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68660</w:t>
            </w:r>
          </w:p>
        </w:tc>
        <w:tc>
          <w:tcPr/>
          <w:p>
            <w:pPr>
              <w:pStyle w:val="Compact"/>
              <w:jc w:val="left"/>
            </w:pPr>
            <w:r>
              <w:t xml:space="preserve">Östermalm-Björnholmen</w:t>
            </w:r>
          </w:p>
        </w:tc>
        <w:tc>
          <w:tcPr/>
          <w:p>
            <w:pPr>
              <w:pStyle w:val="Compact"/>
              <w:jc w:val="right"/>
            </w:pPr>
            <w:r>
              <w:t xml:space="preserve">112.1</w:t>
            </w:r>
          </w:p>
        </w:tc>
        <w:tc>
          <w:tcPr/>
          <w:p>
            <w:pPr>
              <w:pStyle w:val="Compact"/>
              <w:jc w:val="right"/>
            </w:pPr>
            <w:r>
              <w:t xml:space="preserve">105.0</w:t>
            </w:r>
          </w:p>
        </w:tc>
        <w:tc>
          <w:tcPr/>
          <w:p>
            <w:pPr>
              <w:pStyle w:val="Compact"/>
              <w:jc w:val="right"/>
            </w:pPr>
            <w:r>
              <w:t xml:space="preserve">95.0</w:t>
            </w:r>
          </w:p>
        </w:tc>
        <w:tc>
          <w:tcPr/>
          <w:p>
            <w:pPr>
              <w:pStyle w:val="Compact"/>
              <w:jc w:val="right"/>
            </w:pPr>
            <w:r>
              <w:t xml:space="preserve">97.8</w:t>
            </w:r>
          </w:p>
        </w:tc>
        <w:tc>
          <w:tcPr/>
          <w:p>
            <w:pPr>
              <w:pStyle w:val="Compact"/>
              <w:jc w:val="right"/>
            </w:pPr>
            <w:r>
              <w:t xml:space="preserve">150.5</w:t>
            </w:r>
          </w:p>
        </w:tc>
      </w:tr>
      <w:tr>
        <w:tc>
          <w:tcPr/>
          <w:p>
            <w:pPr>
              <w:pStyle w:val="Compact"/>
              <w:jc w:val="left"/>
            </w:pPr>
            <w:r>
              <w:t xml:space="preserve">68750</w:t>
            </w:r>
          </w:p>
        </w:tc>
        <w:tc>
          <w:tcPr/>
          <w:p>
            <w:pPr>
              <w:pStyle w:val="Compact"/>
              <w:jc w:val="left"/>
            </w:pPr>
            <w:r>
              <w:t xml:space="preserve">Småbönders</w:t>
            </w:r>
          </w:p>
        </w:tc>
        <w:tc>
          <w:tcPr/>
          <w:p>
            <w:pPr>
              <w:pStyle w:val="Compact"/>
              <w:jc w:val="right"/>
            </w:pPr>
            <w:r>
              <w:t xml:space="preserve">111.3</w:t>
            </w:r>
          </w:p>
        </w:tc>
        <w:tc>
          <w:tcPr/>
          <w:p>
            <w:pPr>
              <w:pStyle w:val="Compact"/>
              <w:jc w:val="right"/>
            </w:pPr>
            <w:r>
              <w:t xml:space="preserve">119.4</w:t>
            </w:r>
          </w:p>
        </w:tc>
        <w:tc>
          <w:tcPr/>
          <w:p>
            <w:pPr>
              <w:pStyle w:val="Compact"/>
              <w:jc w:val="right"/>
            </w:pPr>
            <w:r>
              <w:t xml:space="preserve">130.6</w:t>
            </w:r>
          </w:p>
        </w:tc>
        <w:tc>
          <w:tcPr/>
          <w:p>
            <w:pPr>
              <w:pStyle w:val="Compact"/>
              <w:jc w:val="right"/>
            </w:pPr>
            <w:r>
              <w:t xml:space="preserve">46.5</w:t>
            </w:r>
          </w:p>
        </w:tc>
        <w:tc>
          <w:tcPr/>
          <w:p>
            <w:pPr>
              <w:pStyle w:val="Compact"/>
              <w:jc w:val="right"/>
            </w:pPr>
            <w:r>
              <w:t xml:space="preserve">148.8</w:t>
            </w:r>
          </w:p>
        </w:tc>
      </w:tr>
      <w:tr>
        <w:tc>
          <w:tcPr/>
          <w:p>
            <w:pPr>
              <w:pStyle w:val="Compact"/>
              <w:jc w:val="left"/>
            </w:pPr>
            <w:r>
              <w:t xml:space="preserve">68970</w:t>
            </w:r>
          </w:p>
        </w:tc>
        <w:tc>
          <w:tcPr/>
          <w:p>
            <w:pPr>
              <w:pStyle w:val="Compact"/>
              <w:jc w:val="left"/>
            </w:pPr>
            <w:r>
              <w:t xml:space="preserve">Överpurmo</w:t>
            </w:r>
          </w:p>
        </w:tc>
        <w:tc>
          <w:tcPr/>
          <w:p>
            <w:pPr>
              <w:pStyle w:val="Compact"/>
              <w:jc w:val="right"/>
            </w:pPr>
            <w:r>
              <w:t xml:space="preserve">104.8</w:t>
            </w:r>
          </w:p>
        </w:tc>
        <w:tc>
          <w:tcPr/>
          <w:p>
            <w:pPr>
              <w:pStyle w:val="Compact"/>
              <w:jc w:val="right"/>
            </w:pPr>
            <w:r>
              <w:t xml:space="preserve">127.9</w:t>
            </w:r>
          </w:p>
        </w:tc>
        <w:tc>
          <w:tcPr/>
          <w:p>
            <w:pPr>
              <w:pStyle w:val="Compact"/>
              <w:jc w:val="right"/>
            </w:pPr>
            <w:r>
              <w:t xml:space="preserve">132.5</w:t>
            </w:r>
          </w:p>
        </w:tc>
        <w:tc>
          <w:tcPr/>
          <w:p>
            <w:pPr>
              <w:pStyle w:val="Compact"/>
              <w:jc w:val="right"/>
            </w:pPr>
            <w:r>
              <w:t xml:space="preserve">30.2</w:t>
            </w:r>
          </w:p>
        </w:tc>
        <w:tc>
          <w:tcPr/>
          <w:p>
            <w:pPr>
              <w:pStyle w:val="Compact"/>
              <w:jc w:val="right"/>
            </w:pPr>
            <w:r>
              <w:t xml:space="preserve">128.4</w:t>
            </w:r>
          </w:p>
        </w:tc>
      </w:tr>
      <w:tr>
        <w:tc>
          <w:tcPr/>
          <w:p>
            <w:pPr>
              <w:pStyle w:val="Compact"/>
              <w:jc w:val="left"/>
            </w:pPr>
            <w:r>
              <w:t xml:space="preserve">66970</w:t>
            </w:r>
          </w:p>
        </w:tc>
        <w:tc>
          <w:tcPr/>
          <w:p>
            <w:pPr>
              <w:pStyle w:val="Compact"/>
              <w:jc w:val="left"/>
            </w:pPr>
            <w:r>
              <w:t xml:space="preserve">Hirvlax</w:t>
            </w:r>
          </w:p>
        </w:tc>
        <w:tc>
          <w:tcPr/>
          <w:p>
            <w:pPr>
              <w:pStyle w:val="Compact"/>
              <w:jc w:val="right"/>
            </w:pPr>
            <w:r>
              <w:t xml:space="preserve">101.3</w:t>
            </w:r>
          </w:p>
        </w:tc>
        <w:tc>
          <w:tcPr/>
          <w:p>
            <w:pPr>
              <w:pStyle w:val="Compact"/>
              <w:jc w:val="right"/>
            </w:pPr>
            <w:r>
              <w:t xml:space="preserve">113.1</w:t>
            </w:r>
          </w:p>
        </w:tc>
        <w:tc>
          <w:tcPr/>
          <w:p>
            <w:pPr>
              <w:pStyle w:val="Compact"/>
              <w:jc w:val="right"/>
            </w:pPr>
            <w:r>
              <w:t xml:space="preserve">121.5</w:t>
            </w:r>
          </w:p>
        </w:tc>
        <w:tc>
          <w:tcPr/>
          <w:p>
            <w:pPr>
              <w:pStyle w:val="Compact"/>
              <w:jc w:val="right"/>
            </w:pPr>
            <w:r>
              <w:t xml:space="preserve">47.2</w:t>
            </w:r>
          </w:p>
        </w:tc>
        <w:tc>
          <w:tcPr/>
          <w:p>
            <w:pPr>
              <w:pStyle w:val="Compact"/>
              <w:jc w:val="right"/>
            </w:pPr>
            <w:r>
              <w:t xml:space="preserve">123.4</w:t>
            </w:r>
          </w:p>
        </w:tc>
      </w:tr>
      <w:tr>
        <w:tc>
          <w:tcPr/>
          <w:p>
            <w:pPr>
              <w:pStyle w:val="Compact"/>
              <w:jc w:val="left"/>
            </w:pPr>
            <w:r>
              <w:t xml:space="preserve">68870</w:t>
            </w:r>
          </w:p>
        </w:tc>
        <w:tc>
          <w:tcPr/>
          <w:p>
            <w:pPr>
              <w:pStyle w:val="Compact"/>
              <w:jc w:val="left"/>
            </w:pPr>
            <w:r>
              <w:t xml:space="preserve">Edsevö</w:t>
            </w:r>
          </w:p>
        </w:tc>
        <w:tc>
          <w:tcPr/>
          <w:p>
            <w:pPr>
              <w:pStyle w:val="Compact"/>
              <w:jc w:val="right"/>
            </w:pPr>
            <w:r>
              <w:t xml:space="preserve">92.2</w:t>
            </w:r>
          </w:p>
        </w:tc>
        <w:tc>
          <w:tcPr/>
          <w:p>
            <w:pPr>
              <w:pStyle w:val="Compact"/>
              <w:jc w:val="right"/>
            </w:pPr>
            <w:r>
              <w:t xml:space="preserve">64.7</w:t>
            </w:r>
          </w:p>
        </w:tc>
        <w:tc>
          <w:tcPr/>
          <w:p>
            <w:pPr>
              <w:pStyle w:val="Compact"/>
              <w:jc w:val="right"/>
            </w:pPr>
            <w:r>
              <w:t xml:space="preserve">88.7</w:t>
            </w:r>
          </w:p>
        </w:tc>
        <w:tc>
          <w:tcPr/>
          <w:p>
            <w:pPr>
              <w:pStyle w:val="Compact"/>
              <w:jc w:val="right"/>
            </w:pPr>
            <w:r>
              <w:t xml:space="preserve">78.7</w:t>
            </w:r>
          </w:p>
        </w:tc>
        <w:tc>
          <w:tcPr/>
          <w:p>
            <w:pPr>
              <w:pStyle w:val="Compact"/>
              <w:jc w:val="right"/>
            </w:pPr>
            <w:r>
              <w:t xml:space="preserve">136.6</w:t>
            </w:r>
          </w:p>
        </w:tc>
      </w:tr>
      <w:tr>
        <w:tc>
          <w:tcPr/>
          <w:p>
            <w:pPr>
              <w:pStyle w:val="Compact"/>
              <w:jc w:val="left"/>
            </w:pPr>
            <w:r>
              <w:t xml:space="preserve">68600</w:t>
            </w:r>
          </w:p>
        </w:tc>
        <w:tc>
          <w:tcPr/>
          <w:p>
            <w:pPr>
              <w:pStyle w:val="Compact"/>
              <w:jc w:val="left"/>
            </w:pPr>
            <w:r>
              <w:t xml:space="preserve">Pietarsaari Keskus</w:t>
            </w:r>
          </w:p>
        </w:tc>
        <w:tc>
          <w:tcPr/>
          <w:p>
            <w:pPr>
              <w:pStyle w:val="Compact"/>
              <w:jc w:val="right"/>
            </w:pPr>
            <w:r>
              <w:t xml:space="preserve">88.4</w:t>
            </w:r>
          </w:p>
        </w:tc>
        <w:tc>
          <w:tcPr/>
          <w:p>
            <w:pPr>
              <w:pStyle w:val="Compact"/>
              <w:jc w:val="right"/>
            </w:pPr>
            <w:r>
              <w:t xml:space="preserve">94.0</w:t>
            </w:r>
          </w:p>
        </w:tc>
        <w:tc>
          <w:tcPr/>
          <w:p>
            <w:pPr>
              <w:pStyle w:val="Compact"/>
              <w:jc w:val="right"/>
            </w:pPr>
            <w:r>
              <w:t xml:space="preserve">83.9</w:t>
            </w:r>
          </w:p>
        </w:tc>
        <w:tc>
          <w:tcPr/>
          <w:p>
            <w:pPr>
              <w:pStyle w:val="Compact"/>
              <w:jc w:val="right"/>
            </w:pPr>
            <w:r>
              <w:t xml:space="preserve">71.8</w:t>
            </w:r>
          </w:p>
        </w:tc>
        <w:tc>
          <w:tcPr/>
          <w:p>
            <w:pPr>
              <w:pStyle w:val="Compact"/>
              <w:jc w:val="right"/>
            </w:pPr>
            <w:r>
              <w:t xml:space="preserve">103.6</w:t>
            </w:r>
          </w:p>
        </w:tc>
      </w:tr>
      <w:tr>
        <w:tc>
          <w:tcPr/>
          <w:p>
            <w:pPr>
              <w:pStyle w:val="Compact"/>
              <w:jc w:val="left"/>
            </w:pPr>
            <w:r>
              <w:t xml:space="preserve">68940</w:t>
            </w:r>
          </w:p>
        </w:tc>
        <w:tc>
          <w:tcPr/>
          <w:p>
            <w:pPr>
              <w:pStyle w:val="Compact"/>
              <w:jc w:val="left"/>
            </w:pPr>
            <w:r>
              <w:t xml:space="preserve">Lillby</w:t>
            </w:r>
          </w:p>
        </w:tc>
        <w:tc>
          <w:tcPr/>
          <w:p>
            <w:pPr>
              <w:pStyle w:val="Compact"/>
              <w:jc w:val="right"/>
            </w:pPr>
            <w:r>
              <w:t xml:space="preserve">88.0</w:t>
            </w:r>
          </w:p>
        </w:tc>
        <w:tc>
          <w:tcPr/>
          <w:p>
            <w:pPr>
              <w:pStyle w:val="Compact"/>
              <w:jc w:val="right"/>
            </w:pPr>
            <w:r>
              <w:t xml:space="preserve">96.4</w:t>
            </w:r>
          </w:p>
        </w:tc>
        <w:tc>
          <w:tcPr/>
          <w:p>
            <w:pPr>
              <w:pStyle w:val="Compact"/>
              <w:jc w:val="right"/>
            </w:pPr>
            <w:r>
              <w:t xml:space="preserve">104.7</w:t>
            </w:r>
          </w:p>
        </w:tc>
        <w:tc>
          <w:tcPr/>
          <w:p>
            <w:pPr>
              <w:pStyle w:val="Compact"/>
              <w:jc w:val="right"/>
            </w:pPr>
            <w:r>
              <w:t xml:space="preserve">39.2</w:t>
            </w:r>
          </w:p>
        </w:tc>
        <w:tc>
          <w:tcPr/>
          <w:p>
            <w:pPr>
              <w:pStyle w:val="Compact"/>
              <w:jc w:val="right"/>
            </w:pPr>
            <w:r>
              <w:t xml:space="preserve">111.8</w:t>
            </w:r>
          </w:p>
        </w:tc>
      </w:tr>
      <w:tr>
        <w:tc>
          <w:tcPr/>
          <w:p>
            <w:pPr>
              <w:pStyle w:val="Compact"/>
              <w:jc w:val="left"/>
            </w:pPr>
            <w:r>
              <w:t xml:space="preserve">66980</w:t>
            </w:r>
          </w:p>
        </w:tc>
        <w:tc>
          <w:tcPr/>
          <w:p>
            <w:pPr>
              <w:pStyle w:val="Compact"/>
              <w:jc w:val="left"/>
            </w:pPr>
            <w:r>
              <w:t xml:space="preserve">Monå</w:t>
            </w:r>
          </w:p>
        </w:tc>
        <w:tc>
          <w:tcPr/>
          <w:p>
            <w:pPr>
              <w:pStyle w:val="Compact"/>
              <w:jc w:val="right"/>
            </w:pPr>
            <w:r>
              <w:t xml:space="preserve">87.8</w:t>
            </w:r>
          </w:p>
        </w:tc>
        <w:tc>
          <w:tcPr/>
          <w:p>
            <w:pPr>
              <w:pStyle w:val="Compact"/>
              <w:jc w:val="right"/>
            </w:pPr>
            <w:r>
              <w:t xml:space="preserve">83.0</w:t>
            </w:r>
          </w:p>
        </w:tc>
        <w:tc>
          <w:tcPr/>
          <w:p>
            <w:pPr>
              <w:pStyle w:val="Compact"/>
              <w:jc w:val="right"/>
            </w:pPr>
            <w:r>
              <w:t xml:space="preserve">91.6</w:t>
            </w:r>
          </w:p>
        </w:tc>
        <w:tc>
          <w:tcPr/>
          <w:p>
            <w:pPr>
              <w:pStyle w:val="Compact"/>
              <w:jc w:val="right"/>
            </w:pPr>
            <w:r>
              <w:t xml:space="preserve">54.0</w:t>
            </w:r>
          </w:p>
        </w:tc>
        <w:tc>
          <w:tcPr/>
          <w:p>
            <w:pPr>
              <w:pStyle w:val="Compact"/>
              <w:jc w:val="right"/>
            </w:pPr>
            <w:r>
              <w:t xml:space="preserve">122.9</w:t>
            </w:r>
          </w:p>
        </w:tc>
      </w:tr>
      <w:tr>
        <w:tc>
          <w:tcPr/>
          <w:p>
            <w:pPr>
              <w:pStyle w:val="Compact"/>
              <w:jc w:val="left"/>
            </w:pPr>
            <w:r>
              <w:t xml:space="preserve">66850</w:t>
            </w:r>
          </w:p>
        </w:tc>
        <w:tc>
          <w:tcPr/>
          <w:p>
            <w:pPr>
              <w:pStyle w:val="Compact"/>
              <w:jc w:val="left"/>
            </w:pPr>
            <w:r>
              <w:t xml:space="preserve">Jepua</w:t>
            </w:r>
          </w:p>
        </w:tc>
        <w:tc>
          <w:tcPr/>
          <w:p>
            <w:pPr>
              <w:pStyle w:val="Compact"/>
              <w:jc w:val="right"/>
            </w:pPr>
            <w:r>
              <w:t xml:space="preserve">85.3</w:t>
            </w:r>
          </w:p>
        </w:tc>
        <w:tc>
          <w:tcPr/>
          <w:p>
            <w:pPr>
              <w:pStyle w:val="Compact"/>
              <w:jc w:val="right"/>
            </w:pPr>
            <w:r>
              <w:t xml:space="preserve">81.6</w:t>
            </w:r>
          </w:p>
        </w:tc>
        <w:tc>
          <w:tcPr/>
          <w:p>
            <w:pPr>
              <w:pStyle w:val="Compact"/>
              <w:jc w:val="right"/>
            </w:pPr>
            <w:r>
              <w:t xml:space="preserve">102.9</w:t>
            </w:r>
          </w:p>
        </w:tc>
        <w:tc>
          <w:tcPr/>
          <w:p>
            <w:pPr>
              <w:pStyle w:val="Compact"/>
              <w:jc w:val="right"/>
            </w:pPr>
            <w:r>
              <w:t xml:space="preserve">38.2</w:t>
            </w:r>
          </w:p>
        </w:tc>
        <w:tc>
          <w:tcPr/>
          <w:p>
            <w:pPr>
              <w:pStyle w:val="Compact"/>
              <w:jc w:val="right"/>
            </w:pPr>
            <w:r>
              <w:t xml:space="preserve">118.6</w:t>
            </w:r>
          </w:p>
        </w:tc>
      </w:tr>
      <w:tr>
        <w:tc>
          <w:tcPr/>
          <w:p>
            <w:pPr>
              <w:pStyle w:val="Compact"/>
              <w:jc w:val="left"/>
            </w:pPr>
            <w:r>
              <w:t xml:space="preserve">68840</w:t>
            </w:r>
          </w:p>
        </w:tc>
        <w:tc>
          <w:tcPr/>
          <w:p>
            <w:pPr>
              <w:pStyle w:val="Compact"/>
              <w:jc w:val="left"/>
            </w:pPr>
            <w:r>
              <w:t xml:space="preserve">Nederlappfors</w:t>
            </w:r>
          </w:p>
        </w:tc>
        <w:tc>
          <w:tcPr/>
          <w:p>
            <w:pPr>
              <w:pStyle w:val="Compact"/>
              <w:jc w:val="right"/>
            </w:pPr>
            <w:r>
              <w:t xml:space="preserve">85.3</w:t>
            </w:r>
          </w:p>
        </w:tc>
        <w:tc>
          <w:tcPr/>
          <w:p>
            <w:pPr>
              <w:pStyle w:val="Compact"/>
              <w:jc w:val="right"/>
            </w:pPr>
            <w:r>
              <w:t xml:space="preserve">76.4</w:t>
            </w:r>
          </w:p>
        </w:tc>
        <w:tc>
          <w:tcPr/>
          <w:p>
            <w:pPr>
              <w:pStyle w:val="Compact"/>
              <w:jc w:val="right"/>
            </w:pPr>
            <w:r>
              <w:t xml:space="preserve">124.6</w:t>
            </w:r>
          </w:p>
        </w:tc>
        <w:tc>
          <w:tcPr/>
          <w:p>
            <w:pPr>
              <w:pStyle w:val="Compact"/>
              <w:jc w:val="right"/>
            </w:pPr>
            <w:r>
              <w:t xml:space="preserve">21.2</w:t>
            </w:r>
          </w:p>
        </w:tc>
        <w:tc>
          <w:tcPr/>
          <w:p>
            <w:pPr>
              <w:pStyle w:val="Compact"/>
              <w:jc w:val="right"/>
            </w:pPr>
            <w:r>
              <w:t xml:space="preserve">118.9</w:t>
            </w:r>
          </w:p>
        </w:tc>
      </w:tr>
      <w:tr>
        <w:tc>
          <w:tcPr/>
          <w:p>
            <w:pPr>
              <w:pStyle w:val="Compact"/>
              <w:jc w:val="left"/>
            </w:pPr>
            <w:r>
              <w:t xml:space="preserve">68700</w:t>
            </w:r>
          </w:p>
        </w:tc>
        <w:tc>
          <w:tcPr/>
          <w:p>
            <w:pPr>
              <w:pStyle w:val="Compact"/>
              <w:jc w:val="left"/>
            </w:pPr>
            <w:r>
              <w:t xml:space="preserve">Teerijärvi</w:t>
            </w:r>
          </w:p>
        </w:tc>
        <w:tc>
          <w:tcPr/>
          <w:p>
            <w:pPr>
              <w:pStyle w:val="Compact"/>
              <w:jc w:val="right"/>
            </w:pPr>
            <w:r>
              <w:t xml:space="preserve">84.6</w:t>
            </w:r>
          </w:p>
        </w:tc>
        <w:tc>
          <w:tcPr/>
          <w:p>
            <w:pPr>
              <w:pStyle w:val="Compact"/>
              <w:jc w:val="right"/>
            </w:pPr>
            <w:r>
              <w:t xml:space="preserve">83.0</w:t>
            </w:r>
          </w:p>
        </w:tc>
        <w:tc>
          <w:tcPr/>
          <w:p>
            <w:pPr>
              <w:pStyle w:val="Compact"/>
              <w:jc w:val="right"/>
            </w:pPr>
            <w:r>
              <w:t xml:space="preserve">98.7</w:t>
            </w:r>
          </w:p>
        </w:tc>
        <w:tc>
          <w:tcPr/>
          <w:p>
            <w:pPr>
              <w:pStyle w:val="Compact"/>
              <w:jc w:val="right"/>
            </w:pPr>
            <w:r>
              <w:t xml:space="preserve">43.1</w:t>
            </w:r>
          </w:p>
        </w:tc>
        <w:tc>
          <w:tcPr/>
          <w:p>
            <w:pPr>
              <w:pStyle w:val="Compact"/>
              <w:jc w:val="right"/>
            </w:pPr>
            <w:r>
              <w:t xml:space="preserve">113.6</w:t>
            </w:r>
          </w:p>
        </w:tc>
      </w:tr>
      <w:tr>
        <w:tc>
          <w:tcPr/>
          <w:p>
            <w:pPr>
              <w:pStyle w:val="Compact"/>
              <w:jc w:val="left"/>
            </w:pPr>
            <w:r>
              <w:t xml:space="preserve">66900</w:t>
            </w:r>
          </w:p>
        </w:tc>
        <w:tc>
          <w:tcPr/>
          <w:p>
            <w:pPr>
              <w:pStyle w:val="Compact"/>
              <w:jc w:val="left"/>
            </w:pPr>
            <w:r>
              <w:t xml:space="preserve">Uusikaarlepyy Keskus</w:t>
            </w:r>
          </w:p>
        </w:tc>
        <w:tc>
          <w:tcPr/>
          <w:p>
            <w:pPr>
              <w:pStyle w:val="Compact"/>
              <w:jc w:val="right"/>
            </w:pPr>
            <w:r>
              <w:t xml:space="preserve">83.4</w:t>
            </w:r>
          </w:p>
        </w:tc>
        <w:tc>
          <w:tcPr/>
          <w:p>
            <w:pPr>
              <w:pStyle w:val="Compact"/>
              <w:jc w:val="right"/>
            </w:pPr>
            <w:r>
              <w:t xml:space="preserve">91.5</w:t>
            </w:r>
          </w:p>
        </w:tc>
        <w:tc>
          <w:tcPr/>
          <w:p>
            <w:pPr>
              <w:pStyle w:val="Compact"/>
              <w:jc w:val="right"/>
            </w:pPr>
            <w:r>
              <w:t xml:space="preserve">91.7</w:t>
            </w:r>
          </w:p>
        </w:tc>
        <w:tc>
          <w:tcPr/>
          <w:p>
            <w:pPr>
              <w:pStyle w:val="Compact"/>
              <w:jc w:val="right"/>
            </w:pPr>
            <w:r>
              <w:t xml:space="preserve">42.5</w:t>
            </w:r>
          </w:p>
        </w:tc>
        <w:tc>
          <w:tcPr/>
          <w:p>
            <w:pPr>
              <w:pStyle w:val="Compact"/>
              <w:jc w:val="right"/>
            </w:pPr>
            <w:r>
              <w:t xml:space="preserve">107.9</w:t>
            </w:r>
          </w:p>
        </w:tc>
      </w:tr>
      <w:tr>
        <w:tc>
          <w:tcPr/>
          <w:p>
            <w:pPr>
              <w:pStyle w:val="Compact"/>
              <w:jc w:val="left"/>
            </w:pPr>
            <w:r>
              <w:t xml:space="preserve">66950</w:t>
            </w:r>
          </w:p>
        </w:tc>
        <w:tc>
          <w:tcPr/>
          <w:p>
            <w:pPr>
              <w:pStyle w:val="Compact"/>
              <w:jc w:val="left"/>
            </w:pPr>
            <w:r>
              <w:t xml:space="preserve">Munsala</w:t>
            </w:r>
          </w:p>
        </w:tc>
        <w:tc>
          <w:tcPr/>
          <w:p>
            <w:pPr>
              <w:pStyle w:val="Compact"/>
              <w:jc w:val="right"/>
            </w:pPr>
            <w:r>
              <w:t xml:space="preserve">83.2</w:t>
            </w:r>
          </w:p>
        </w:tc>
        <w:tc>
          <w:tcPr/>
          <w:p>
            <w:pPr>
              <w:pStyle w:val="Compact"/>
              <w:jc w:val="right"/>
            </w:pPr>
            <w:r>
              <w:t xml:space="preserve">83.3</w:t>
            </w:r>
          </w:p>
        </w:tc>
        <w:tc>
          <w:tcPr/>
          <w:p>
            <w:pPr>
              <w:pStyle w:val="Compact"/>
              <w:jc w:val="right"/>
            </w:pPr>
            <w:r>
              <w:t xml:space="preserve">101.3</w:t>
            </w:r>
          </w:p>
        </w:tc>
        <w:tc>
          <w:tcPr/>
          <w:p>
            <w:pPr>
              <w:pStyle w:val="Compact"/>
              <w:jc w:val="right"/>
            </w:pPr>
            <w:r>
              <w:t xml:space="preserve">31.0</w:t>
            </w:r>
          </w:p>
        </w:tc>
        <w:tc>
          <w:tcPr/>
          <w:p>
            <w:pPr>
              <w:pStyle w:val="Compact"/>
              <w:jc w:val="right"/>
            </w:pPr>
            <w:r>
              <w:t xml:space="preserve">117.2</w:t>
            </w:r>
          </w:p>
        </w:tc>
      </w:tr>
      <w:tr>
        <w:tc>
          <w:tcPr/>
          <w:p>
            <w:pPr>
              <w:pStyle w:val="Compact"/>
              <w:jc w:val="left"/>
            </w:pPr>
            <w:r>
              <w:t xml:space="preserve">68620</w:t>
            </w:r>
          </w:p>
        </w:tc>
        <w:tc>
          <w:tcPr/>
          <w:p>
            <w:pPr>
              <w:pStyle w:val="Compact"/>
              <w:jc w:val="left"/>
            </w:pPr>
            <w:r>
              <w:t xml:space="preserve">Skutnäs-Västermalm</w:t>
            </w:r>
          </w:p>
        </w:tc>
        <w:tc>
          <w:tcPr/>
          <w:p>
            <w:pPr>
              <w:pStyle w:val="Compact"/>
              <w:jc w:val="right"/>
            </w:pPr>
            <w:r>
              <w:t xml:space="preserve">83.0</w:t>
            </w:r>
          </w:p>
        </w:tc>
        <w:tc>
          <w:tcPr/>
          <w:p>
            <w:pPr>
              <w:pStyle w:val="Compact"/>
              <w:jc w:val="right"/>
            </w:pPr>
            <w:r>
              <w:t xml:space="preserve">88.4</w:t>
            </w:r>
          </w:p>
        </w:tc>
        <w:tc>
          <w:tcPr/>
          <w:p>
            <w:pPr>
              <w:pStyle w:val="Compact"/>
              <w:jc w:val="right"/>
            </w:pPr>
            <w:r>
              <w:t xml:space="preserve">84.6</w:t>
            </w:r>
          </w:p>
        </w:tc>
        <w:tc>
          <w:tcPr/>
          <w:p>
            <w:pPr>
              <w:pStyle w:val="Compact"/>
              <w:jc w:val="right"/>
            </w:pPr>
            <w:r>
              <w:t xml:space="preserve">67.8</w:t>
            </w:r>
          </w:p>
        </w:tc>
        <w:tc>
          <w:tcPr/>
          <w:p>
            <w:pPr>
              <w:pStyle w:val="Compact"/>
              <w:jc w:val="right"/>
            </w:pPr>
            <w:r>
              <w:t xml:space="preserve">91.4</w:t>
            </w:r>
          </w:p>
        </w:tc>
      </w:tr>
      <w:tr>
        <w:tc>
          <w:tcPr/>
          <w:p>
            <w:pPr>
              <w:pStyle w:val="Compact"/>
              <w:jc w:val="left"/>
            </w:pPr>
            <w:r>
              <w:t xml:space="preserve">68500</w:t>
            </w:r>
          </w:p>
        </w:tc>
        <w:tc>
          <w:tcPr/>
          <w:p>
            <w:pPr>
              <w:pStyle w:val="Compact"/>
              <w:jc w:val="left"/>
            </w:pPr>
            <w:r>
              <w:t xml:space="preserve">Kruunupyy Keskus</w:t>
            </w:r>
          </w:p>
        </w:tc>
        <w:tc>
          <w:tcPr/>
          <w:p>
            <w:pPr>
              <w:pStyle w:val="Compact"/>
              <w:jc w:val="right"/>
            </w:pPr>
            <w:r>
              <w:t xml:space="preserve">82.5</w:t>
            </w:r>
          </w:p>
        </w:tc>
        <w:tc>
          <w:tcPr/>
          <w:p>
            <w:pPr>
              <w:pStyle w:val="Compact"/>
              <w:jc w:val="right"/>
            </w:pPr>
            <w:r>
              <w:t xml:space="preserve">84.0</w:t>
            </w:r>
          </w:p>
        </w:tc>
        <w:tc>
          <w:tcPr/>
          <w:p>
            <w:pPr>
              <w:pStyle w:val="Compact"/>
              <w:jc w:val="right"/>
            </w:pPr>
            <w:r>
              <w:t xml:space="preserve">93.1</w:t>
            </w:r>
          </w:p>
        </w:tc>
        <w:tc>
          <w:tcPr/>
          <w:p>
            <w:pPr>
              <w:pStyle w:val="Compact"/>
              <w:jc w:val="right"/>
            </w:pPr>
            <w:r>
              <w:t xml:space="preserve">44.6</w:t>
            </w:r>
          </w:p>
        </w:tc>
        <w:tc>
          <w:tcPr/>
          <w:p>
            <w:pPr>
              <w:pStyle w:val="Compact"/>
              <w:jc w:val="right"/>
            </w:pPr>
            <w:r>
              <w:t xml:space="preserve">108.2</w:t>
            </w:r>
          </w:p>
        </w:tc>
      </w:tr>
      <w:tr>
        <w:tc>
          <w:tcPr/>
          <w:p>
            <w:pPr>
              <w:pStyle w:val="Compact"/>
              <w:jc w:val="left"/>
            </w:pPr>
            <w:r>
              <w:t xml:space="preserve">66840</w:t>
            </w:r>
          </w:p>
        </w:tc>
        <w:tc>
          <w:tcPr/>
          <w:p>
            <w:pPr>
              <w:pStyle w:val="Compact"/>
              <w:jc w:val="left"/>
            </w:pPr>
            <w:r>
              <w:t xml:space="preserve">Pensala</w:t>
            </w:r>
          </w:p>
        </w:tc>
        <w:tc>
          <w:tcPr/>
          <w:p>
            <w:pPr>
              <w:pStyle w:val="Compact"/>
              <w:jc w:val="right"/>
            </w:pPr>
            <w:r>
              <w:t xml:space="preserve">82.3</w:t>
            </w:r>
          </w:p>
        </w:tc>
        <w:tc>
          <w:tcPr/>
          <w:p>
            <w:pPr>
              <w:pStyle w:val="Compact"/>
              <w:jc w:val="right"/>
            </w:pPr>
            <w:r>
              <w:t xml:space="preserve">87.3</w:t>
            </w:r>
          </w:p>
        </w:tc>
        <w:tc>
          <w:tcPr/>
          <w:p>
            <w:pPr>
              <w:pStyle w:val="Compact"/>
              <w:jc w:val="right"/>
            </w:pPr>
            <w:r>
              <w:t xml:space="preserve">107.6</w:t>
            </w:r>
          </w:p>
        </w:tc>
        <w:tc>
          <w:tcPr/>
          <w:p>
            <w:pPr>
              <w:pStyle w:val="Compact"/>
              <w:jc w:val="right"/>
            </w:pPr>
            <w:r>
              <w:t xml:space="preserve">49.6</w:t>
            </w:r>
          </w:p>
        </w:tc>
        <w:tc>
          <w:tcPr/>
          <w:p>
            <w:pPr>
              <w:pStyle w:val="Compact"/>
              <w:jc w:val="right"/>
            </w:pPr>
            <w:r>
              <w:t xml:space="preserve">84.7</w:t>
            </w:r>
          </w:p>
        </w:tc>
      </w:tr>
      <w:tr>
        <w:tc>
          <w:tcPr/>
          <w:p>
            <w:pPr>
              <w:pStyle w:val="Compact"/>
              <w:jc w:val="left"/>
            </w:pPr>
            <w:r>
              <w:t xml:space="preserve">66930</w:t>
            </w:r>
          </w:p>
        </w:tc>
        <w:tc>
          <w:tcPr/>
          <w:p>
            <w:pPr>
              <w:pStyle w:val="Compact"/>
              <w:jc w:val="left"/>
            </w:pPr>
            <w:r>
              <w:t xml:space="preserve">Kovjoki</w:t>
            </w:r>
          </w:p>
        </w:tc>
        <w:tc>
          <w:tcPr/>
          <w:p>
            <w:pPr>
              <w:pStyle w:val="Compact"/>
              <w:jc w:val="right"/>
            </w:pPr>
            <w:r>
              <w:t xml:space="preserve">81.0</w:t>
            </w:r>
          </w:p>
        </w:tc>
        <w:tc>
          <w:tcPr/>
          <w:p>
            <w:pPr>
              <w:pStyle w:val="Compact"/>
              <w:jc w:val="right"/>
            </w:pPr>
            <w:r>
              <w:t xml:space="preserve">53.9</w:t>
            </w:r>
          </w:p>
        </w:tc>
        <w:tc>
          <w:tcPr/>
          <w:p>
            <w:pPr>
              <w:pStyle w:val="Compact"/>
              <w:jc w:val="right"/>
            </w:pPr>
            <w:r>
              <w:t xml:space="preserve">85.8</w:t>
            </w:r>
          </w:p>
        </w:tc>
        <w:tc>
          <w:tcPr/>
          <w:p>
            <w:pPr>
              <w:pStyle w:val="Compact"/>
              <w:jc w:val="right"/>
            </w:pPr>
            <w:r>
              <w:t xml:space="preserve">49.8</w:t>
            </w:r>
          </w:p>
        </w:tc>
        <w:tc>
          <w:tcPr/>
          <w:p>
            <w:pPr>
              <w:pStyle w:val="Compact"/>
              <w:jc w:val="right"/>
            </w:pPr>
            <w:r>
              <w:t xml:space="preserve">134.6</w:t>
            </w:r>
          </w:p>
        </w:tc>
      </w:tr>
      <w:tr>
        <w:tc>
          <w:tcPr/>
          <w:p>
            <w:pPr>
              <w:pStyle w:val="Compact"/>
              <w:jc w:val="left"/>
            </w:pPr>
            <w:r>
              <w:t xml:space="preserve">68410</w:t>
            </w:r>
          </w:p>
        </w:tc>
        <w:tc>
          <w:tcPr/>
          <w:p>
            <w:pPr>
              <w:pStyle w:val="Compact"/>
              <w:jc w:val="left"/>
            </w:pPr>
            <w:r>
              <w:t xml:space="preserve">Alaveteli</w:t>
            </w:r>
          </w:p>
        </w:tc>
        <w:tc>
          <w:tcPr/>
          <w:p>
            <w:pPr>
              <w:pStyle w:val="Compact"/>
              <w:jc w:val="right"/>
            </w:pPr>
            <w:r>
              <w:t xml:space="preserve">78.7</w:t>
            </w:r>
          </w:p>
        </w:tc>
        <w:tc>
          <w:tcPr/>
          <w:p>
            <w:pPr>
              <w:pStyle w:val="Compact"/>
              <w:jc w:val="right"/>
            </w:pPr>
            <w:r>
              <w:t xml:space="preserve">74.4</w:t>
            </w:r>
          </w:p>
        </w:tc>
        <w:tc>
          <w:tcPr/>
          <w:p>
            <w:pPr>
              <w:pStyle w:val="Compact"/>
              <w:jc w:val="right"/>
            </w:pPr>
            <w:r>
              <w:t xml:space="preserve">91.4</w:t>
            </w:r>
          </w:p>
        </w:tc>
        <w:tc>
          <w:tcPr/>
          <w:p>
            <w:pPr>
              <w:pStyle w:val="Compact"/>
              <w:jc w:val="right"/>
            </w:pPr>
            <w:r>
              <w:t xml:space="preserve">42.6</w:t>
            </w:r>
          </w:p>
        </w:tc>
        <w:tc>
          <w:tcPr/>
          <w:p>
            <w:pPr>
              <w:pStyle w:val="Compact"/>
              <w:jc w:val="right"/>
            </w:pPr>
            <w:r>
              <w:t xml:space="preserve">106.4</w:t>
            </w:r>
          </w:p>
        </w:tc>
      </w:tr>
      <w:tr>
        <w:tc>
          <w:tcPr/>
          <w:p>
            <w:pPr>
              <w:pStyle w:val="Compact"/>
              <w:jc w:val="left"/>
            </w:pPr>
            <w:r>
              <w:t xml:space="preserve">68830</w:t>
            </w:r>
          </w:p>
        </w:tc>
        <w:tc>
          <w:tcPr/>
          <w:p>
            <w:pPr>
              <w:pStyle w:val="Compact"/>
              <w:jc w:val="left"/>
            </w:pPr>
            <w:r>
              <w:t xml:space="preserve">Bäckby</w:t>
            </w:r>
          </w:p>
        </w:tc>
        <w:tc>
          <w:tcPr/>
          <w:p>
            <w:pPr>
              <w:pStyle w:val="Compact"/>
              <w:jc w:val="right"/>
            </w:pPr>
            <w:r>
              <w:t xml:space="preserve">78.4</w:t>
            </w:r>
          </w:p>
        </w:tc>
        <w:tc>
          <w:tcPr/>
          <w:p>
            <w:pPr>
              <w:pStyle w:val="Compact"/>
              <w:jc w:val="right"/>
            </w:pPr>
            <w:r>
              <w:t xml:space="preserve">60.0</w:t>
            </w:r>
          </w:p>
        </w:tc>
        <w:tc>
          <w:tcPr/>
          <w:p>
            <w:pPr>
              <w:pStyle w:val="Compact"/>
              <w:jc w:val="right"/>
            </w:pPr>
            <w:r>
              <w:t xml:space="preserve">84.5</w:t>
            </w:r>
          </w:p>
        </w:tc>
        <w:tc>
          <w:tcPr/>
          <w:p>
            <w:pPr>
              <w:pStyle w:val="Compact"/>
              <w:jc w:val="right"/>
            </w:pPr>
            <w:r>
              <w:t xml:space="preserve">77.0</w:t>
            </w:r>
          </w:p>
        </w:tc>
        <w:tc>
          <w:tcPr/>
          <w:p>
            <w:pPr>
              <w:pStyle w:val="Compact"/>
              <w:jc w:val="right"/>
            </w:pPr>
            <w:r>
              <w:t xml:space="preserve">92.1</w:t>
            </w:r>
          </w:p>
        </w:tc>
      </w:tr>
      <w:tr>
        <w:tc>
          <w:tcPr/>
          <w:p>
            <w:pPr>
              <w:pStyle w:val="Compact"/>
              <w:jc w:val="left"/>
            </w:pPr>
            <w:r>
              <w:t xml:space="preserve">68690</w:t>
            </w:r>
          </w:p>
        </w:tc>
        <w:tc>
          <w:tcPr/>
          <w:p>
            <w:pPr>
              <w:pStyle w:val="Compact"/>
              <w:jc w:val="left"/>
            </w:pPr>
            <w:r>
              <w:t xml:space="preserve">Sundby</w:t>
            </w:r>
          </w:p>
        </w:tc>
        <w:tc>
          <w:tcPr/>
          <w:p>
            <w:pPr>
              <w:pStyle w:val="Compact"/>
              <w:jc w:val="right"/>
            </w:pPr>
            <w:r>
              <w:t xml:space="preserve">77.3</w:t>
            </w:r>
          </w:p>
        </w:tc>
        <w:tc>
          <w:tcPr/>
          <w:p>
            <w:pPr>
              <w:pStyle w:val="Compact"/>
              <w:jc w:val="right"/>
            </w:pPr>
            <w:r>
              <w:t xml:space="preserve">69.4</w:t>
            </w:r>
          </w:p>
        </w:tc>
        <w:tc>
          <w:tcPr/>
          <w:p>
            <w:pPr>
              <w:pStyle w:val="Compact"/>
              <w:jc w:val="right"/>
            </w:pPr>
            <w:r>
              <w:t xml:space="preserve">89.4</w:t>
            </w:r>
          </w:p>
        </w:tc>
        <w:tc>
          <w:tcPr/>
          <w:p>
            <w:pPr>
              <w:pStyle w:val="Compact"/>
              <w:jc w:val="right"/>
            </w:pPr>
            <w:r>
              <w:t xml:space="preserve">56.9</w:t>
            </w:r>
          </w:p>
        </w:tc>
        <w:tc>
          <w:tcPr/>
          <w:p>
            <w:pPr>
              <w:pStyle w:val="Compact"/>
              <w:jc w:val="right"/>
            </w:pPr>
            <w:r>
              <w:t xml:space="preserve">93.4</w:t>
            </w:r>
          </w:p>
        </w:tc>
      </w:tr>
      <w:tr>
        <w:tc>
          <w:tcPr/>
          <w:p>
            <w:pPr>
              <w:pStyle w:val="Compact"/>
              <w:jc w:val="left"/>
            </w:pPr>
            <w:r>
              <w:t xml:space="preserve">68820</w:t>
            </w:r>
          </w:p>
        </w:tc>
        <w:tc>
          <w:tcPr/>
          <w:p>
            <w:pPr>
              <w:pStyle w:val="Compact"/>
              <w:jc w:val="left"/>
            </w:pPr>
            <w:r>
              <w:t xml:space="preserve">Ähtävä</w:t>
            </w:r>
          </w:p>
        </w:tc>
        <w:tc>
          <w:tcPr/>
          <w:p>
            <w:pPr>
              <w:pStyle w:val="Compact"/>
              <w:jc w:val="right"/>
            </w:pPr>
            <w:r>
              <w:t xml:space="preserve">76.7</w:t>
            </w:r>
          </w:p>
        </w:tc>
        <w:tc>
          <w:tcPr/>
          <w:p>
            <w:pPr>
              <w:pStyle w:val="Compact"/>
              <w:jc w:val="right"/>
            </w:pPr>
            <w:r>
              <w:t xml:space="preserve">82.2</w:t>
            </w:r>
          </w:p>
        </w:tc>
        <w:tc>
          <w:tcPr/>
          <w:p>
            <w:pPr>
              <w:pStyle w:val="Compact"/>
              <w:jc w:val="right"/>
            </w:pPr>
            <w:r>
              <w:t xml:space="preserve">91.5</w:t>
            </w:r>
          </w:p>
        </w:tc>
        <w:tc>
          <w:tcPr/>
          <w:p>
            <w:pPr>
              <w:pStyle w:val="Compact"/>
              <w:jc w:val="right"/>
            </w:pPr>
            <w:r>
              <w:t xml:space="preserve">42.8</w:t>
            </w:r>
          </w:p>
        </w:tc>
        <w:tc>
          <w:tcPr/>
          <w:p>
            <w:pPr>
              <w:pStyle w:val="Compact"/>
              <w:jc w:val="right"/>
            </w:pPr>
            <w:r>
              <w:t xml:space="preserve">90.2</w:t>
            </w:r>
          </w:p>
        </w:tc>
      </w:tr>
      <w:tr>
        <w:tc>
          <w:tcPr/>
          <w:p>
            <w:pPr>
              <w:pStyle w:val="Compact"/>
              <w:jc w:val="left"/>
            </w:pPr>
            <w:r>
              <w:t xml:space="preserve">68930</w:t>
            </w:r>
          </w:p>
        </w:tc>
        <w:tc>
          <w:tcPr/>
          <w:p>
            <w:pPr>
              <w:pStyle w:val="Compact"/>
              <w:jc w:val="left"/>
            </w:pPr>
            <w:r>
              <w:t xml:space="preserve">Purmo</w:t>
            </w:r>
          </w:p>
        </w:tc>
        <w:tc>
          <w:tcPr/>
          <w:p>
            <w:pPr>
              <w:pStyle w:val="Compact"/>
              <w:jc w:val="right"/>
            </w:pPr>
            <w:r>
              <w:t xml:space="preserve">73.1</w:t>
            </w:r>
          </w:p>
        </w:tc>
        <w:tc>
          <w:tcPr/>
          <w:p>
            <w:pPr>
              <w:pStyle w:val="Compact"/>
              <w:jc w:val="right"/>
            </w:pPr>
            <w:r>
              <w:t xml:space="preserve">74.5</w:t>
            </w:r>
          </w:p>
        </w:tc>
        <w:tc>
          <w:tcPr/>
          <w:p>
            <w:pPr>
              <w:pStyle w:val="Compact"/>
              <w:jc w:val="right"/>
            </w:pPr>
            <w:r>
              <w:t xml:space="preserve">95.3</w:t>
            </w:r>
          </w:p>
        </w:tc>
        <w:tc>
          <w:tcPr/>
          <w:p>
            <w:pPr>
              <w:pStyle w:val="Compact"/>
              <w:jc w:val="right"/>
            </w:pPr>
            <w:r>
              <w:t xml:space="preserve">36.3</w:t>
            </w:r>
          </w:p>
        </w:tc>
        <w:tc>
          <w:tcPr/>
          <w:p>
            <w:pPr>
              <w:pStyle w:val="Compact"/>
              <w:jc w:val="right"/>
            </w:pPr>
            <w:r>
              <w:t xml:space="preserve">86.5</w:t>
            </w:r>
          </w:p>
        </w:tc>
      </w:tr>
      <w:tr>
        <w:tc>
          <w:tcPr/>
          <w:p>
            <w:pPr>
              <w:pStyle w:val="Compact"/>
              <w:jc w:val="left"/>
            </w:pPr>
            <w:r>
              <w:t xml:space="preserve">68560</w:t>
            </w:r>
          </w:p>
        </w:tc>
        <w:tc>
          <w:tcPr/>
          <w:p>
            <w:pPr>
              <w:pStyle w:val="Compact"/>
              <w:jc w:val="left"/>
            </w:pPr>
            <w:r>
              <w:t xml:space="preserve">Eugmo</w:t>
            </w:r>
          </w:p>
        </w:tc>
        <w:tc>
          <w:tcPr/>
          <w:p>
            <w:pPr>
              <w:pStyle w:val="Compact"/>
              <w:jc w:val="right"/>
            </w:pPr>
            <w:r>
              <w:t xml:space="preserve">69.8</w:t>
            </w:r>
          </w:p>
        </w:tc>
        <w:tc>
          <w:tcPr/>
          <w:p>
            <w:pPr>
              <w:pStyle w:val="Compact"/>
              <w:jc w:val="right"/>
            </w:pPr>
            <w:r>
              <w:t xml:space="preserve">69.1</w:t>
            </w:r>
          </w:p>
        </w:tc>
        <w:tc>
          <w:tcPr/>
          <w:p>
            <w:pPr>
              <w:pStyle w:val="Compact"/>
              <w:jc w:val="right"/>
            </w:pPr>
            <w:r>
              <w:t xml:space="preserve">87.9</w:t>
            </w:r>
          </w:p>
        </w:tc>
        <w:tc>
          <w:tcPr/>
          <w:p>
            <w:pPr>
              <w:pStyle w:val="Compact"/>
              <w:jc w:val="right"/>
            </w:pPr>
            <w:r>
              <w:t xml:space="preserve">15.8</w:t>
            </w:r>
          </w:p>
        </w:tc>
        <w:tc>
          <w:tcPr/>
          <w:p>
            <w:pPr>
              <w:pStyle w:val="Compact"/>
              <w:jc w:val="right"/>
            </w:pPr>
            <w:r>
              <w:t xml:space="preserve">106.2</w:t>
            </w:r>
          </w:p>
        </w:tc>
      </w:tr>
      <w:tr>
        <w:tc>
          <w:tcPr/>
          <w:p>
            <w:pPr>
              <w:pStyle w:val="Compact"/>
              <w:jc w:val="left"/>
            </w:pPr>
            <w:r>
              <w:t xml:space="preserve">68910</w:t>
            </w:r>
          </w:p>
        </w:tc>
        <w:tc>
          <w:tcPr/>
          <w:p>
            <w:pPr>
              <w:pStyle w:val="Compact"/>
              <w:jc w:val="left"/>
            </w:pPr>
            <w:r>
              <w:t xml:space="preserve">Pännäinen</w:t>
            </w:r>
          </w:p>
        </w:tc>
        <w:tc>
          <w:tcPr/>
          <w:p>
            <w:pPr>
              <w:pStyle w:val="Compact"/>
              <w:jc w:val="right"/>
            </w:pPr>
            <w:r>
              <w:t xml:space="preserve">69.6</w:t>
            </w:r>
          </w:p>
        </w:tc>
        <w:tc>
          <w:tcPr/>
          <w:p>
            <w:pPr>
              <w:pStyle w:val="Compact"/>
              <w:jc w:val="right"/>
            </w:pPr>
            <w:r>
              <w:t xml:space="preserve">65.0</w:t>
            </w:r>
          </w:p>
        </w:tc>
        <w:tc>
          <w:tcPr/>
          <w:p>
            <w:pPr>
              <w:pStyle w:val="Compact"/>
              <w:jc w:val="right"/>
            </w:pPr>
            <w:r>
              <w:t xml:space="preserve">80.3</w:t>
            </w:r>
          </w:p>
        </w:tc>
        <w:tc>
          <w:tcPr/>
          <w:p>
            <w:pPr>
              <w:pStyle w:val="Compact"/>
              <w:jc w:val="right"/>
            </w:pPr>
            <w:r>
              <w:t xml:space="preserve">52.9</w:t>
            </w:r>
          </w:p>
        </w:tc>
        <w:tc>
          <w:tcPr/>
          <w:p>
            <w:pPr>
              <w:pStyle w:val="Compact"/>
              <w:jc w:val="right"/>
            </w:pPr>
            <w:r>
              <w:t xml:space="preserve">80.2</w:t>
            </w:r>
          </w:p>
        </w:tc>
      </w:tr>
      <w:tr>
        <w:tc>
          <w:tcPr/>
          <w:p>
            <w:pPr>
              <w:pStyle w:val="Compact"/>
              <w:jc w:val="left"/>
            </w:pPr>
            <w:r>
              <w:t xml:space="preserve">68630</w:t>
            </w:r>
          </w:p>
        </w:tc>
        <w:tc>
          <w:tcPr/>
          <w:p>
            <w:pPr>
              <w:pStyle w:val="Compact"/>
              <w:jc w:val="left"/>
            </w:pPr>
            <w:r>
              <w:t xml:space="preserve">Kyrkostrand</w:t>
            </w:r>
          </w:p>
        </w:tc>
        <w:tc>
          <w:tcPr/>
          <w:p>
            <w:pPr>
              <w:pStyle w:val="Compact"/>
              <w:jc w:val="right"/>
            </w:pPr>
            <w:r>
              <w:t xml:space="preserve">66.0</w:t>
            </w:r>
          </w:p>
        </w:tc>
        <w:tc>
          <w:tcPr/>
          <w:p>
            <w:pPr>
              <w:pStyle w:val="Compact"/>
              <w:jc w:val="right"/>
            </w:pPr>
            <w:r>
              <w:t xml:space="preserve">46.4</w:t>
            </w:r>
          </w:p>
        </w:tc>
        <w:tc>
          <w:tcPr/>
          <w:p>
            <w:pPr>
              <w:pStyle w:val="Compact"/>
              <w:jc w:val="right"/>
            </w:pPr>
            <w:r>
              <w:t xml:space="preserve">69.3</w:t>
            </w:r>
          </w:p>
        </w:tc>
        <w:tc>
          <w:tcPr/>
          <w:p>
            <w:pPr>
              <w:pStyle w:val="Compact"/>
              <w:jc w:val="right"/>
            </w:pPr>
            <w:r>
              <w:t xml:space="preserve">59.8</w:t>
            </w:r>
          </w:p>
        </w:tc>
        <w:tc>
          <w:tcPr/>
          <w:p>
            <w:pPr>
              <w:pStyle w:val="Compact"/>
              <w:jc w:val="right"/>
            </w:pPr>
            <w:r>
              <w:t xml:space="preserve">88.4</w:t>
            </w:r>
          </w:p>
        </w:tc>
      </w:tr>
      <w:tr>
        <w:tc>
          <w:tcPr/>
          <w:p>
            <w:pPr>
              <w:pStyle w:val="Compact"/>
              <w:jc w:val="left"/>
            </w:pPr>
            <w:r>
              <w:t xml:space="preserve">68920</w:t>
            </w:r>
          </w:p>
        </w:tc>
        <w:tc>
          <w:tcPr/>
          <w:p>
            <w:pPr>
              <w:pStyle w:val="Compact"/>
              <w:jc w:val="left"/>
            </w:pPr>
            <w:r>
              <w:t xml:space="preserve">Forsby</w:t>
            </w:r>
          </w:p>
        </w:tc>
        <w:tc>
          <w:tcPr/>
          <w:p>
            <w:pPr>
              <w:pStyle w:val="Compact"/>
              <w:jc w:val="right"/>
            </w:pPr>
            <w:r>
              <w:t xml:space="preserve">64.6</w:t>
            </w:r>
          </w:p>
        </w:tc>
        <w:tc>
          <w:tcPr/>
          <w:p>
            <w:pPr>
              <w:pStyle w:val="Compact"/>
              <w:jc w:val="right"/>
            </w:pPr>
            <w:r>
              <w:t xml:space="preserve">66.1</w:t>
            </w:r>
          </w:p>
        </w:tc>
        <w:tc>
          <w:tcPr/>
          <w:p>
            <w:pPr>
              <w:pStyle w:val="Compact"/>
              <w:jc w:val="right"/>
            </w:pPr>
            <w:r>
              <w:t xml:space="preserve">85.0</w:t>
            </w:r>
          </w:p>
        </w:tc>
        <w:tc>
          <w:tcPr/>
          <w:p>
            <w:pPr>
              <w:pStyle w:val="Compact"/>
              <w:jc w:val="right"/>
            </w:pPr>
            <w:r>
              <w:t xml:space="preserve">27.8</w:t>
            </w:r>
          </w:p>
        </w:tc>
        <w:tc>
          <w:tcPr/>
          <w:p>
            <w:pPr>
              <w:pStyle w:val="Compact"/>
              <w:jc w:val="right"/>
            </w:pPr>
            <w:r>
              <w:t xml:space="preserve">79.6</w:t>
            </w:r>
          </w:p>
        </w:tc>
      </w:tr>
      <w:tr>
        <w:tc>
          <w:tcPr/>
          <w:p>
            <w:pPr>
              <w:pStyle w:val="Compact"/>
              <w:jc w:val="left"/>
            </w:pPr>
            <w:r>
              <w:t xml:space="preserve">68800</w:t>
            </w:r>
          </w:p>
        </w:tc>
        <w:tc>
          <w:tcPr/>
          <w:p>
            <w:pPr>
              <w:pStyle w:val="Compact"/>
              <w:jc w:val="left"/>
            </w:pPr>
            <w:r>
              <w:t xml:space="preserve">Kolppi</w:t>
            </w:r>
          </w:p>
        </w:tc>
        <w:tc>
          <w:tcPr/>
          <w:p>
            <w:pPr>
              <w:pStyle w:val="Compact"/>
              <w:jc w:val="right"/>
            </w:pPr>
            <w:r>
              <w:t xml:space="preserve">64.5</w:t>
            </w:r>
          </w:p>
        </w:tc>
        <w:tc>
          <w:tcPr/>
          <w:p>
            <w:pPr>
              <w:pStyle w:val="Compact"/>
              <w:jc w:val="right"/>
            </w:pPr>
            <w:r>
              <w:t xml:space="preserve">60.4</w:t>
            </w:r>
          </w:p>
        </w:tc>
        <w:tc>
          <w:tcPr/>
          <w:p>
            <w:pPr>
              <w:pStyle w:val="Compact"/>
              <w:jc w:val="right"/>
            </w:pPr>
            <w:r>
              <w:t xml:space="preserve">67.9</w:t>
            </w:r>
          </w:p>
        </w:tc>
        <w:tc>
          <w:tcPr/>
          <w:p>
            <w:pPr>
              <w:pStyle w:val="Compact"/>
              <w:jc w:val="right"/>
            </w:pPr>
            <w:r>
              <w:t xml:space="preserve">37.7</w:t>
            </w:r>
          </w:p>
        </w:tc>
        <w:tc>
          <w:tcPr/>
          <w:p>
            <w:pPr>
              <w:pStyle w:val="Compact"/>
              <w:jc w:val="right"/>
            </w:pPr>
            <w:r>
              <w:t xml:space="preserve">92.2</w:t>
            </w:r>
          </w:p>
        </w:tc>
      </w:tr>
      <w:tr>
        <w:tc>
          <w:tcPr/>
          <w:p>
            <w:pPr>
              <w:pStyle w:val="Compact"/>
              <w:jc w:val="left"/>
            </w:pPr>
            <w:r>
              <w:t xml:space="preserve">68810</w:t>
            </w:r>
          </w:p>
        </w:tc>
        <w:tc>
          <w:tcPr/>
          <w:p>
            <w:pPr>
              <w:pStyle w:val="Compact"/>
              <w:jc w:val="left"/>
            </w:pPr>
            <w:r>
              <w:t xml:space="preserve">Ytteresse</w:t>
            </w:r>
          </w:p>
        </w:tc>
        <w:tc>
          <w:tcPr/>
          <w:p>
            <w:pPr>
              <w:pStyle w:val="Compact"/>
              <w:jc w:val="right"/>
            </w:pPr>
            <w:r>
              <w:t xml:space="preserve">61.7</w:t>
            </w:r>
          </w:p>
        </w:tc>
        <w:tc>
          <w:tcPr/>
          <w:p>
            <w:pPr>
              <w:pStyle w:val="Compact"/>
              <w:jc w:val="right"/>
            </w:pPr>
            <w:r>
              <w:t xml:space="preserve">56.0</w:t>
            </w:r>
          </w:p>
        </w:tc>
        <w:tc>
          <w:tcPr/>
          <w:p>
            <w:pPr>
              <w:pStyle w:val="Compact"/>
              <w:jc w:val="right"/>
            </w:pPr>
            <w:r>
              <w:t xml:space="preserve">80.2</w:t>
            </w:r>
          </w:p>
        </w:tc>
        <w:tc>
          <w:tcPr/>
          <w:p>
            <w:pPr>
              <w:pStyle w:val="Compact"/>
              <w:jc w:val="right"/>
            </w:pPr>
            <w:r>
              <w:t xml:space="preserve">19.2</w:t>
            </w:r>
          </w:p>
        </w:tc>
        <w:tc>
          <w:tcPr/>
          <w:p>
            <w:pPr>
              <w:pStyle w:val="Compact"/>
              <w:jc w:val="right"/>
            </w:pPr>
            <w:r>
              <w:t xml:space="preserve">91.3</w:t>
            </w:r>
          </w:p>
        </w:tc>
      </w:tr>
      <w:tr>
        <w:tc>
          <w:tcPr/>
          <w:p>
            <w:pPr>
              <w:pStyle w:val="Compact"/>
              <w:jc w:val="left"/>
            </w:pPr>
            <w:r>
              <w:t xml:space="preserve">68530</w:t>
            </w:r>
          </w:p>
        </w:tc>
        <w:tc>
          <w:tcPr/>
          <w:p>
            <w:pPr>
              <w:pStyle w:val="Compact"/>
              <w:jc w:val="left"/>
            </w:pPr>
            <w:r>
              <w:t xml:space="preserve">Lepplax</w:t>
            </w:r>
          </w:p>
        </w:tc>
        <w:tc>
          <w:tcPr/>
          <w:p>
            <w:pPr>
              <w:pStyle w:val="Compact"/>
              <w:jc w:val="right"/>
            </w:pPr>
            <w:r>
              <w:t xml:space="preserve">60.2</w:t>
            </w:r>
          </w:p>
        </w:tc>
        <w:tc>
          <w:tcPr/>
          <w:p>
            <w:pPr>
              <w:pStyle w:val="Compact"/>
              <w:jc w:val="right"/>
            </w:pPr>
            <w:r>
              <w:t xml:space="preserve">49.7</w:t>
            </w:r>
          </w:p>
        </w:tc>
        <w:tc>
          <w:tcPr/>
          <w:p>
            <w:pPr>
              <w:pStyle w:val="Compact"/>
              <w:jc w:val="right"/>
            </w:pPr>
            <w:r>
              <w:t xml:space="preserve">76.5</w:t>
            </w:r>
          </w:p>
        </w:tc>
        <w:tc>
          <w:tcPr/>
          <w:p>
            <w:pPr>
              <w:pStyle w:val="Compact"/>
              <w:jc w:val="right"/>
            </w:pPr>
            <w:r>
              <w:t xml:space="preserve">26.9</w:t>
            </w:r>
          </w:p>
        </w:tc>
        <w:tc>
          <w:tcPr/>
          <w:p>
            <w:pPr>
              <w:pStyle w:val="Compact"/>
              <w:jc w:val="right"/>
            </w:pPr>
            <w:r>
              <w:t xml:space="preserve">87.8</w:t>
            </w:r>
          </w:p>
        </w:tc>
      </w:tr>
      <w:tr>
        <w:tc>
          <w:tcPr/>
          <w:p>
            <w:pPr>
              <w:pStyle w:val="Compact"/>
              <w:jc w:val="left"/>
            </w:pPr>
            <w:r>
              <w:t xml:space="preserve">68555</w:t>
            </w:r>
          </w:p>
        </w:tc>
        <w:tc>
          <w:tcPr/>
          <w:p>
            <w:pPr>
              <w:pStyle w:val="Compact"/>
              <w:jc w:val="left"/>
            </w:pPr>
            <w:r>
              <w:t xml:space="preserve">Bosund</w:t>
            </w:r>
          </w:p>
        </w:tc>
        <w:tc>
          <w:tcPr/>
          <w:p>
            <w:pPr>
              <w:pStyle w:val="Compact"/>
              <w:jc w:val="right"/>
            </w:pPr>
            <w:r>
              <w:t xml:space="preserve">59.5</w:t>
            </w:r>
          </w:p>
        </w:tc>
        <w:tc>
          <w:tcPr/>
          <w:p>
            <w:pPr>
              <w:pStyle w:val="Compact"/>
              <w:jc w:val="right"/>
            </w:pPr>
            <w:r>
              <w:t xml:space="preserve">54.3</w:t>
            </w:r>
          </w:p>
        </w:tc>
        <w:tc>
          <w:tcPr/>
          <w:p>
            <w:pPr>
              <w:pStyle w:val="Compact"/>
              <w:jc w:val="right"/>
            </w:pPr>
            <w:r>
              <w:t xml:space="preserve">77.2</w:t>
            </w:r>
          </w:p>
        </w:tc>
        <w:tc>
          <w:tcPr/>
          <w:p>
            <w:pPr>
              <w:pStyle w:val="Compact"/>
              <w:jc w:val="right"/>
            </w:pPr>
            <w:r>
              <w:t xml:space="preserve">21.2</w:t>
            </w:r>
          </w:p>
        </w:tc>
        <w:tc>
          <w:tcPr/>
          <w:p>
            <w:pPr>
              <w:pStyle w:val="Compact"/>
              <w:jc w:val="right"/>
            </w:pPr>
            <w:r>
              <w:t xml:space="preserve">85.2</w:t>
            </w:r>
          </w:p>
        </w:tc>
      </w:tr>
      <w:tr>
        <w:tc>
          <w:tcPr/>
          <w:p>
            <w:pPr>
              <w:pStyle w:val="Compact"/>
              <w:jc w:val="left"/>
            </w:pPr>
            <w:r>
              <w:t xml:space="preserve">68570</w:t>
            </w:r>
          </w:p>
        </w:tc>
        <w:tc>
          <w:tcPr/>
          <w:p>
            <w:pPr>
              <w:pStyle w:val="Compact"/>
              <w:jc w:val="left"/>
            </w:pPr>
            <w:r>
              <w:t xml:space="preserve">Luoto</w:t>
            </w:r>
          </w:p>
        </w:tc>
        <w:tc>
          <w:tcPr/>
          <w:p>
            <w:pPr>
              <w:pStyle w:val="Compact"/>
              <w:jc w:val="right"/>
            </w:pPr>
            <w:r>
              <w:t xml:space="preserve">58.6</w:t>
            </w:r>
          </w:p>
        </w:tc>
        <w:tc>
          <w:tcPr/>
          <w:p>
            <w:pPr>
              <w:pStyle w:val="Compact"/>
              <w:jc w:val="right"/>
            </w:pPr>
            <w:r>
              <w:t xml:space="preserve">56.6</w:t>
            </w:r>
          </w:p>
        </w:tc>
        <w:tc>
          <w:tcPr/>
          <w:p>
            <w:pPr>
              <w:pStyle w:val="Compact"/>
              <w:jc w:val="right"/>
            </w:pPr>
            <w:r>
              <w:t xml:space="preserve">69.5</w:t>
            </w:r>
          </w:p>
        </w:tc>
        <w:tc>
          <w:tcPr/>
          <w:p>
            <w:pPr>
              <w:pStyle w:val="Compact"/>
              <w:jc w:val="right"/>
            </w:pPr>
            <w:r>
              <w:t xml:space="preserve">25.3</w:t>
            </w:r>
          </w:p>
        </w:tc>
        <w:tc>
          <w:tcPr/>
          <w:p>
            <w:pPr>
              <w:pStyle w:val="Compact"/>
              <w:jc w:val="right"/>
            </w:pPr>
            <w:r>
              <w:t xml:space="preserve">83.2</w:t>
            </w:r>
          </w:p>
        </w:tc>
      </w:tr>
      <w:tr>
        <w:tc>
          <w:tcPr/>
          <w:p>
            <w:pPr>
              <w:pStyle w:val="Compact"/>
              <w:jc w:val="left"/>
            </w:pPr>
            <w:r>
              <w:t xml:space="preserve">66910</w:t>
            </w:r>
          </w:p>
        </w:tc>
        <w:tc>
          <w:tcPr/>
          <w:p>
            <w:pPr>
              <w:pStyle w:val="Compact"/>
              <w:jc w:val="left"/>
            </w:pPr>
            <w:r>
              <w:t xml:space="preserve">Soklot</w:t>
            </w:r>
          </w:p>
        </w:tc>
        <w:tc>
          <w:tcPr/>
          <w:p>
            <w:pPr>
              <w:pStyle w:val="Compact"/>
              <w:jc w:val="right"/>
            </w:pPr>
            <w:r>
              <w:t xml:space="preserve">57.3</w:t>
            </w:r>
          </w:p>
        </w:tc>
        <w:tc>
          <w:tcPr/>
          <w:p>
            <w:pPr>
              <w:pStyle w:val="Compact"/>
              <w:jc w:val="right"/>
            </w:pPr>
            <w:r>
              <w:t xml:space="preserve">47.5</w:t>
            </w:r>
          </w:p>
        </w:tc>
        <w:tc>
          <w:tcPr/>
          <w:p>
            <w:pPr>
              <w:pStyle w:val="Compact"/>
              <w:jc w:val="right"/>
            </w:pPr>
            <w:r>
              <w:t xml:space="preserve">62.7</w:t>
            </w:r>
          </w:p>
        </w:tc>
        <w:tc>
          <w:tcPr/>
          <w:p>
            <w:pPr>
              <w:pStyle w:val="Compact"/>
              <w:jc w:val="right"/>
            </w:pPr>
            <w:r>
              <w:t xml:space="preserve">40.1</w:t>
            </w:r>
          </w:p>
        </w:tc>
        <w:tc>
          <w:tcPr/>
          <w:p>
            <w:pPr>
              <w:pStyle w:val="Compact"/>
              <w:jc w:val="right"/>
            </w:pPr>
            <w:r>
              <w:t xml:space="preserve">78.8</w:t>
            </w:r>
          </w:p>
        </w:tc>
      </w:tr>
      <w:tr>
        <w:tc>
          <w:tcPr/>
          <w:p>
            <w:pPr>
              <w:pStyle w:val="Compact"/>
              <w:jc w:val="left"/>
            </w:pPr>
            <w:r>
              <w:t xml:space="preserve">68580</w:t>
            </w:r>
          </w:p>
        </w:tc>
        <w:tc>
          <w:tcPr/>
          <w:p>
            <w:pPr>
              <w:pStyle w:val="Compact"/>
              <w:jc w:val="left"/>
            </w:pPr>
            <w:r>
              <w:t xml:space="preserve">Furuholmen</w:t>
            </w:r>
          </w:p>
        </w:tc>
        <w:tc>
          <w:tcPr/>
          <w:p>
            <w:pPr>
              <w:pStyle w:val="Compact"/>
              <w:jc w:val="right"/>
            </w:pPr>
            <w:r>
              <w:t xml:space="preserve">51.9</w:t>
            </w:r>
          </w:p>
        </w:tc>
        <w:tc>
          <w:tcPr/>
          <w:p>
            <w:pPr>
              <w:pStyle w:val="Compact"/>
              <w:jc w:val="right"/>
            </w:pPr>
            <w:r>
              <w:t xml:space="preserve">40.5</w:t>
            </w:r>
          </w:p>
        </w:tc>
        <w:tc>
          <w:tcPr/>
          <w:p>
            <w:pPr>
              <w:pStyle w:val="Compact"/>
              <w:jc w:val="right"/>
            </w:pPr>
            <w:r>
              <w:t xml:space="preserve">65.1</w:t>
            </w:r>
          </w:p>
        </w:tc>
        <w:tc>
          <w:tcPr/>
          <w:p>
            <w:pPr>
              <w:pStyle w:val="Compact"/>
              <w:jc w:val="right"/>
            </w:pPr>
            <w:r>
              <w:t xml:space="preserve">31.3</w:t>
            </w:r>
          </w:p>
        </w:tc>
        <w:tc>
          <w:tcPr/>
          <w:p>
            <w:pPr>
              <w:pStyle w:val="Compact"/>
              <w:jc w:val="right"/>
            </w:pPr>
            <w:r>
              <w:t xml:space="preserve">70.6</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jakobstadsregionen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jakobstadsregionen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jakobstadsregionen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jakobstadsregionen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Jakobstadsregionen (Seutukunnat)</dc:title>
  <dc:creator>Diakin karttasovellus 2023-02-27 19:54:49</dc:creator>
  <cp:keywords/>
  <dcterms:created xsi:type="dcterms:W3CDTF">2023-02-27T17:56:16Z</dcterms:created>
  <dcterms:modified xsi:type="dcterms:W3CDTF">2023-02-27T17:56:16Z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