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Kemiönsaari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10:05:09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10:05:09.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Kemiönsaari. Lisäksi tarkastelussa ovat rajanaapurit: Kemiönsaari.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98.6</w:t>
            </w:r>
          </w:p>
        </w:tc>
        <w:tc>
          <w:tcPr/>
          <w:p>
            <w:pPr>
              <w:pStyle w:val="Compact"/>
              <w:jc w:val="right"/>
            </w:pPr>
            <w:r>
              <w:t xml:space="preserve">160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90.1</w:t>
            </w:r>
          </w:p>
        </w:tc>
        <w:tc>
          <w:tcPr/>
          <w:p>
            <w:pPr>
              <w:pStyle w:val="Compact"/>
              <w:jc w:val="right"/>
            </w:pPr>
            <w:r>
              <w:t xml:space="preserve">182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104.8</w:t>
            </w:r>
          </w:p>
        </w:tc>
        <w:tc>
          <w:tcPr/>
          <w:p>
            <w:pPr>
              <w:pStyle w:val="Compact"/>
              <w:jc w:val="right"/>
            </w:pPr>
            <w:r>
              <w:t xml:space="preserve">131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100.9</w:t>
            </w:r>
          </w:p>
        </w:tc>
        <w:tc>
          <w:tcPr/>
          <w:p>
            <w:pPr>
              <w:pStyle w:val="Compact"/>
              <w:jc w:val="right"/>
            </w:pPr>
            <w:r>
              <w:t xml:space="preserve">156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118.2</w:t>
            </w:r>
          </w:p>
        </w:tc>
        <w:tc>
          <w:tcPr/>
          <w:p>
            <w:pPr>
              <w:pStyle w:val="Compact"/>
              <w:jc w:val="right"/>
            </w:pPr>
            <w:r>
              <w:t xml:space="preserve">74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66.0</w:t>
            </w:r>
          </w:p>
        </w:tc>
        <w:tc>
          <w:tcPr/>
          <w:p>
            <w:pPr>
              <w:pStyle w:val="Compact"/>
              <w:jc w:val="right"/>
            </w:pPr>
            <w:r>
              <w:t xml:space="preserve">253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93.2</w:t>
            </w:r>
          </w:p>
        </w:tc>
        <w:tc>
          <w:tcPr/>
          <w:p>
            <w:pPr>
              <w:pStyle w:val="Compact"/>
              <w:jc w:val="right"/>
            </w:pPr>
            <w:r>
              <w:t xml:space="preserve">171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81.8</w:t>
            </w:r>
          </w:p>
        </w:tc>
        <w:tc>
          <w:tcPr/>
          <w:p>
            <w:pPr>
              <w:pStyle w:val="Compact"/>
              <w:jc w:val="right"/>
            </w:pPr>
            <w:r>
              <w:t xml:space="preserve">112</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83.7</w:t>
            </w:r>
          </w:p>
        </w:tc>
        <w:tc>
          <w:tcPr/>
          <w:p>
            <w:pPr>
              <w:pStyle w:val="Compact"/>
              <w:jc w:val="right"/>
            </w:pPr>
            <w:r>
              <w:t xml:space="preserve">182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97.9</w:t>
            </w:r>
          </w:p>
        </w:tc>
        <w:tc>
          <w:tcPr/>
          <w:p>
            <w:pPr>
              <w:pStyle w:val="Compact"/>
              <w:jc w:val="right"/>
            </w:pPr>
            <w:r>
              <w:t xml:space="preserve">155</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109.1</w:t>
            </w:r>
          </w:p>
        </w:tc>
        <w:tc>
          <w:tcPr/>
          <w:p>
            <w:pPr>
              <w:pStyle w:val="Compact"/>
              <w:jc w:val="right"/>
            </w:pPr>
            <w:r>
              <w:t xml:space="preserve">112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96.0</w:t>
            </w:r>
          </w:p>
        </w:tc>
        <w:tc>
          <w:tcPr/>
          <w:p>
            <w:pPr>
              <w:pStyle w:val="Compact"/>
              <w:jc w:val="right"/>
            </w:pPr>
            <w:r>
              <w:t xml:space="preserve">152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99.7</w:t>
            </w:r>
          </w:p>
        </w:tc>
        <w:tc>
          <w:tcPr/>
          <w:p>
            <w:pPr>
              <w:pStyle w:val="Compact"/>
              <w:jc w:val="right"/>
            </w:pPr>
            <w:r>
              <w:t xml:space="preserve">149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114.5</w:t>
            </w:r>
          </w:p>
        </w:tc>
        <w:tc>
          <w:tcPr/>
          <w:p>
            <w:pPr>
              <w:pStyle w:val="Compact"/>
              <w:jc w:val="right"/>
            </w:pPr>
            <w:r>
              <w:t xml:space="preserve">86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81.1</w:t>
            </w:r>
          </w:p>
        </w:tc>
        <w:tc>
          <w:tcPr/>
          <w:p>
            <w:pPr>
              <w:pStyle w:val="Compact"/>
              <w:jc w:val="right"/>
            </w:pPr>
            <w:r>
              <w:t xml:space="preserve">193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102.9</w:t>
            </w:r>
          </w:p>
        </w:tc>
        <w:tc>
          <w:tcPr/>
          <w:p>
            <w:pPr>
              <w:pStyle w:val="Compact"/>
              <w:jc w:val="right"/>
            </w:pPr>
            <w:r>
              <w:t xml:space="preserve">133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42.8</w:t>
            </w:r>
          </w:p>
        </w:tc>
        <w:tc>
          <w:tcPr/>
          <w:p>
            <w:pPr>
              <w:pStyle w:val="Compact"/>
              <w:jc w:val="right"/>
            </w:pPr>
            <w:r>
              <w:t xml:space="preserve">273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59.8</w:t>
            </w:r>
          </w:p>
        </w:tc>
        <w:tc>
          <w:tcPr/>
          <w:p>
            <w:pPr>
              <w:pStyle w:val="Compact"/>
              <w:jc w:val="right"/>
            </w:pPr>
            <w:r>
              <w:t xml:space="preserve">236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Kemiönsaari (valittu)</w:t>
            </w:r>
          </w:p>
        </w:tc>
        <w:tc>
          <w:tcPr/>
          <w:p>
            <w:pPr>
              <w:pStyle w:val="Compact"/>
              <w:jc w:val="right"/>
            </w:pPr>
            <w:r>
              <w:t xml:space="preserve">218.2</w:t>
            </w:r>
          </w:p>
        </w:tc>
        <w:tc>
          <w:tcPr/>
          <w:p>
            <w:pPr>
              <w:pStyle w:val="Compact"/>
              <w:jc w:val="right"/>
            </w:pPr>
            <w:r>
              <w:t xml:space="preserve">36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0"/>
        <w:gridCol w:w="960"/>
        <w:gridCol w:w="720"/>
        <w:gridCol w:w="1920"/>
        <w:gridCol w:w="2160"/>
        <w:gridCol w:w="480"/>
        <w:gridCol w:w="1200"/>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25860</w:t>
            </w:r>
          </w:p>
        </w:tc>
        <w:tc>
          <w:tcPr/>
          <w:p>
            <w:pPr>
              <w:pStyle w:val="Compact"/>
              <w:jc w:val="left"/>
            </w:pPr>
            <w:r>
              <w:t xml:space="preserve">Björkboda</w:t>
            </w:r>
          </w:p>
        </w:tc>
        <w:tc>
          <w:tcPr/>
          <w:p>
            <w:pPr>
              <w:pStyle w:val="Compact"/>
              <w:jc w:val="right"/>
            </w:pPr>
            <w:r>
              <w:t xml:space="preserve">131.9</w:t>
            </w:r>
          </w:p>
        </w:tc>
        <w:tc>
          <w:tcPr/>
          <w:p>
            <w:pPr>
              <w:pStyle w:val="Compact"/>
              <w:jc w:val="right"/>
            </w:pPr>
            <w:r>
              <w:t xml:space="preserve">115.5</w:t>
            </w:r>
          </w:p>
        </w:tc>
        <w:tc>
          <w:tcPr/>
          <w:p>
            <w:pPr>
              <w:pStyle w:val="Compact"/>
              <w:jc w:val="right"/>
            </w:pPr>
            <w:r>
              <w:t xml:space="preserve">110.7</w:t>
            </w:r>
          </w:p>
        </w:tc>
        <w:tc>
          <w:tcPr/>
          <w:p>
            <w:pPr>
              <w:pStyle w:val="Compact"/>
              <w:jc w:val="right"/>
            </w:pPr>
            <w:r>
              <w:t xml:space="preserve">157.5</w:t>
            </w:r>
          </w:p>
        </w:tc>
        <w:tc>
          <w:tcPr/>
          <w:p>
            <w:pPr>
              <w:pStyle w:val="Compact"/>
              <w:jc w:val="right"/>
            </w:pPr>
            <w:r>
              <w:t xml:space="preserve">144.0</w:t>
            </w:r>
          </w:p>
        </w:tc>
      </w:tr>
      <w:tr>
        <w:tc>
          <w:tcPr/>
          <w:p>
            <w:pPr>
              <w:pStyle w:val="Compact"/>
              <w:jc w:val="left"/>
            </w:pPr>
            <w:r>
              <w:t xml:space="preserve">25900</w:t>
            </w:r>
          </w:p>
        </w:tc>
        <w:tc>
          <w:tcPr/>
          <w:p>
            <w:pPr>
              <w:pStyle w:val="Compact"/>
              <w:jc w:val="left"/>
            </w:pPr>
            <w:r>
              <w:t xml:space="preserve">Taalintehdas</w:t>
            </w:r>
          </w:p>
        </w:tc>
        <w:tc>
          <w:tcPr/>
          <w:p>
            <w:pPr>
              <w:pStyle w:val="Compact"/>
              <w:jc w:val="right"/>
            </w:pPr>
            <w:r>
              <w:t xml:space="preserve">118.6</w:t>
            </w:r>
          </w:p>
        </w:tc>
        <w:tc>
          <w:tcPr/>
          <w:p>
            <w:pPr>
              <w:pStyle w:val="Compact"/>
              <w:jc w:val="right"/>
            </w:pPr>
            <w:r>
              <w:t xml:space="preserve">118.5</w:t>
            </w:r>
          </w:p>
        </w:tc>
        <w:tc>
          <w:tcPr/>
          <w:p>
            <w:pPr>
              <w:pStyle w:val="Compact"/>
              <w:jc w:val="right"/>
            </w:pPr>
            <w:r>
              <w:t xml:space="preserve">100.9</w:t>
            </w:r>
          </w:p>
        </w:tc>
        <w:tc>
          <w:tcPr/>
          <w:p>
            <w:pPr>
              <w:pStyle w:val="Compact"/>
              <w:jc w:val="right"/>
            </w:pPr>
            <w:r>
              <w:t xml:space="preserve">101.4</w:t>
            </w:r>
          </w:p>
        </w:tc>
        <w:tc>
          <w:tcPr/>
          <w:p>
            <w:pPr>
              <w:pStyle w:val="Compact"/>
              <w:jc w:val="right"/>
            </w:pPr>
            <w:r>
              <w:t xml:space="preserve">153.7</w:t>
            </w:r>
          </w:p>
        </w:tc>
      </w:tr>
      <w:tr>
        <w:tc>
          <w:tcPr/>
          <w:p>
            <w:pPr>
              <w:pStyle w:val="Compact"/>
              <w:jc w:val="left"/>
            </w:pPr>
            <w:r>
              <w:t xml:space="preserve">25810</w:t>
            </w:r>
          </w:p>
        </w:tc>
        <w:tc>
          <w:tcPr/>
          <w:p>
            <w:pPr>
              <w:pStyle w:val="Compact"/>
              <w:jc w:val="left"/>
            </w:pPr>
            <w:r>
              <w:t xml:space="preserve">Mark</w:t>
            </w:r>
          </w:p>
        </w:tc>
        <w:tc>
          <w:tcPr/>
          <w:p>
            <w:pPr>
              <w:pStyle w:val="Compact"/>
              <w:jc w:val="right"/>
            </w:pPr>
            <w:r>
              <w:t xml:space="preserve">112.9</w:t>
            </w:r>
          </w:p>
        </w:tc>
        <w:tc>
          <w:tcPr/>
          <w:p>
            <w:pPr>
              <w:pStyle w:val="Compact"/>
              <w:jc w:val="right"/>
            </w:pPr>
            <w:r>
              <w:t xml:space="preserve">126.9</w:t>
            </w:r>
          </w:p>
        </w:tc>
        <w:tc>
          <w:tcPr/>
          <w:p>
            <w:pPr>
              <w:pStyle w:val="Compact"/>
              <w:jc w:val="right"/>
            </w:pPr>
            <w:r>
              <w:t xml:space="preserve">102.0</w:t>
            </w:r>
          </w:p>
        </w:tc>
        <w:tc>
          <w:tcPr/>
          <w:p>
            <w:pPr>
              <w:pStyle w:val="Compact"/>
              <w:jc w:val="right"/>
            </w:pPr>
            <w:r>
              <w:t xml:space="preserve">151.5</w:t>
            </w:r>
          </w:p>
        </w:tc>
        <w:tc>
          <w:tcPr/>
          <w:p>
            <w:pPr>
              <w:pStyle w:val="Compact"/>
              <w:jc w:val="right"/>
            </w:pPr>
            <w:r>
              <w:t xml:space="preserve">71.4</w:t>
            </w:r>
          </w:p>
        </w:tc>
      </w:tr>
      <w:tr>
        <w:tc>
          <w:tcPr/>
          <w:p>
            <w:pPr>
              <w:pStyle w:val="Compact"/>
              <w:jc w:val="left"/>
            </w:pPr>
            <w:r>
              <w:t xml:space="preserve">25940</w:t>
            </w:r>
          </w:p>
        </w:tc>
        <w:tc>
          <w:tcPr/>
          <w:p>
            <w:pPr>
              <w:pStyle w:val="Compact"/>
              <w:jc w:val="left"/>
            </w:pPr>
            <w:r>
              <w:t xml:space="preserve">Hiittinen</w:t>
            </w:r>
          </w:p>
        </w:tc>
        <w:tc>
          <w:tcPr/>
          <w:p>
            <w:pPr>
              <w:pStyle w:val="Compact"/>
              <w:jc w:val="right"/>
            </w:pPr>
            <w:r>
              <w:t xml:space="preserve">106.6</w:t>
            </w:r>
          </w:p>
        </w:tc>
        <w:tc>
          <w:tcPr/>
          <w:p>
            <w:pPr>
              <w:pStyle w:val="Compact"/>
              <w:jc w:val="right"/>
            </w:pPr>
            <w:r>
              <w:t xml:space="preserve">123.7</w:t>
            </w:r>
          </w:p>
        </w:tc>
        <w:tc>
          <w:tcPr/>
          <w:p>
            <w:pPr>
              <w:pStyle w:val="Compact"/>
              <w:jc w:val="right"/>
            </w:pPr>
            <w:r>
              <w:t xml:space="preserve">107.0</w:t>
            </w:r>
          </w:p>
        </w:tc>
        <w:tc>
          <w:tcPr/>
          <w:p>
            <w:pPr>
              <w:pStyle w:val="Compact"/>
              <w:jc w:val="right"/>
            </w:pPr>
            <w:r>
              <w:t xml:space="preserve">77.9</w:t>
            </w:r>
          </w:p>
        </w:tc>
        <w:tc>
          <w:tcPr/>
          <w:p>
            <w:pPr>
              <w:pStyle w:val="Compact"/>
              <w:jc w:val="right"/>
            </w:pPr>
            <w:r>
              <w:t xml:space="preserve">117.7</w:t>
            </w:r>
          </w:p>
        </w:tc>
      </w:tr>
      <w:tr>
        <w:tc>
          <w:tcPr/>
          <w:p>
            <w:pPr>
              <w:pStyle w:val="Compact"/>
              <w:jc w:val="left"/>
            </w:pPr>
            <w:r>
              <w:t xml:space="preserve">25760</w:t>
            </w:r>
          </w:p>
        </w:tc>
        <w:tc>
          <w:tcPr/>
          <w:p>
            <w:pPr>
              <w:pStyle w:val="Compact"/>
              <w:jc w:val="left"/>
            </w:pPr>
            <w:r>
              <w:t xml:space="preserve">Kiila</w:t>
            </w:r>
          </w:p>
        </w:tc>
        <w:tc>
          <w:tcPr/>
          <w:p>
            <w:pPr>
              <w:pStyle w:val="Compact"/>
              <w:jc w:val="right"/>
            </w:pPr>
            <w:r>
              <w:t xml:space="preserve">105.1</w:t>
            </w:r>
          </w:p>
        </w:tc>
        <w:tc>
          <w:tcPr/>
          <w:p>
            <w:pPr>
              <w:pStyle w:val="Compact"/>
              <w:jc w:val="right"/>
            </w:pPr>
            <w:r>
              <w:t xml:space="preserve">107.3</w:t>
            </w:r>
          </w:p>
        </w:tc>
        <w:tc>
          <w:tcPr/>
          <w:p>
            <w:pPr>
              <w:pStyle w:val="Compact"/>
              <w:jc w:val="right"/>
            </w:pPr>
            <w:r>
              <w:t xml:space="preserve">130.7</w:t>
            </w:r>
          </w:p>
        </w:tc>
        <w:tc>
          <w:tcPr/>
          <w:p>
            <w:pPr>
              <w:pStyle w:val="Compact"/>
              <w:jc w:val="right"/>
            </w:pPr>
            <w:r>
              <w:t xml:space="preserve">83.6</w:t>
            </w:r>
          </w:p>
        </w:tc>
        <w:tc>
          <w:tcPr/>
          <w:p>
            <w:pPr>
              <w:pStyle w:val="Compact"/>
              <w:jc w:val="right"/>
            </w:pPr>
            <w:r>
              <w:t xml:space="preserve">98.7</w:t>
            </w:r>
          </w:p>
        </w:tc>
      </w:tr>
      <w:tr>
        <w:tc>
          <w:tcPr/>
          <w:p>
            <w:pPr>
              <w:pStyle w:val="Compact"/>
              <w:jc w:val="left"/>
            </w:pPr>
            <w:r>
              <w:t xml:space="preserve">25870</w:t>
            </w:r>
          </w:p>
        </w:tc>
        <w:tc>
          <w:tcPr/>
          <w:p>
            <w:pPr>
              <w:pStyle w:val="Compact"/>
              <w:jc w:val="left"/>
            </w:pPr>
            <w:r>
              <w:t xml:space="preserve">Dragsfjärd</w:t>
            </w:r>
          </w:p>
        </w:tc>
        <w:tc>
          <w:tcPr/>
          <w:p>
            <w:pPr>
              <w:pStyle w:val="Compact"/>
              <w:jc w:val="right"/>
            </w:pPr>
            <w:r>
              <w:t xml:space="preserve">94.9</w:t>
            </w:r>
          </w:p>
        </w:tc>
        <w:tc>
          <w:tcPr/>
          <w:p>
            <w:pPr>
              <w:pStyle w:val="Compact"/>
              <w:jc w:val="right"/>
            </w:pPr>
            <w:r>
              <w:t xml:space="preserve">94.3</w:t>
            </w:r>
          </w:p>
        </w:tc>
        <w:tc>
          <w:tcPr/>
          <w:p>
            <w:pPr>
              <w:pStyle w:val="Compact"/>
              <w:jc w:val="right"/>
            </w:pPr>
            <w:r>
              <w:t xml:space="preserve">93.6</w:t>
            </w:r>
          </w:p>
        </w:tc>
        <w:tc>
          <w:tcPr/>
          <w:p>
            <w:pPr>
              <w:pStyle w:val="Compact"/>
              <w:jc w:val="right"/>
            </w:pPr>
            <w:r>
              <w:t xml:space="preserve">67.2</w:t>
            </w:r>
          </w:p>
        </w:tc>
        <w:tc>
          <w:tcPr/>
          <w:p>
            <w:pPr>
              <w:pStyle w:val="Compact"/>
              <w:jc w:val="right"/>
            </w:pPr>
            <w:r>
              <w:t xml:space="preserve">124.4</w:t>
            </w:r>
          </w:p>
        </w:tc>
      </w:tr>
      <w:tr>
        <w:tc>
          <w:tcPr/>
          <w:p>
            <w:pPr>
              <w:pStyle w:val="Compact"/>
              <w:jc w:val="left"/>
            </w:pPr>
            <w:r>
              <w:t xml:space="preserve">25700</w:t>
            </w:r>
          </w:p>
        </w:tc>
        <w:tc>
          <w:tcPr/>
          <w:p>
            <w:pPr>
              <w:pStyle w:val="Compact"/>
              <w:jc w:val="left"/>
            </w:pPr>
            <w:r>
              <w:t xml:space="preserve">Kemiö Keskus</w:t>
            </w:r>
          </w:p>
        </w:tc>
        <w:tc>
          <w:tcPr/>
          <w:p>
            <w:pPr>
              <w:pStyle w:val="Compact"/>
              <w:jc w:val="right"/>
            </w:pPr>
            <w:r>
              <w:t xml:space="preserve">92.8</w:t>
            </w:r>
          </w:p>
        </w:tc>
        <w:tc>
          <w:tcPr/>
          <w:p>
            <w:pPr>
              <w:pStyle w:val="Compact"/>
              <w:jc w:val="right"/>
            </w:pPr>
            <w:r>
              <w:t xml:space="preserve">108.0</w:t>
            </w:r>
          </w:p>
        </w:tc>
        <w:tc>
          <w:tcPr/>
          <w:p>
            <w:pPr>
              <w:pStyle w:val="Compact"/>
              <w:jc w:val="right"/>
            </w:pPr>
            <w:r>
              <w:t xml:space="preserve">96.7</w:t>
            </w:r>
          </w:p>
        </w:tc>
        <w:tc>
          <w:tcPr/>
          <w:p>
            <w:pPr>
              <w:pStyle w:val="Compact"/>
              <w:jc w:val="right"/>
            </w:pPr>
            <w:r>
              <w:t xml:space="preserve">57.6</w:t>
            </w:r>
          </w:p>
        </w:tc>
        <w:tc>
          <w:tcPr/>
          <w:p>
            <w:pPr>
              <w:pStyle w:val="Compact"/>
              <w:jc w:val="right"/>
            </w:pPr>
            <w:r>
              <w:t xml:space="preserve">109.0</w:t>
            </w:r>
          </w:p>
        </w:tc>
      </w:tr>
      <w:tr>
        <w:tc>
          <w:tcPr/>
          <w:p>
            <w:pPr>
              <w:pStyle w:val="Compact"/>
              <w:jc w:val="left"/>
            </w:pPr>
            <w:r>
              <w:t xml:space="preserve">25730</w:t>
            </w:r>
          </w:p>
        </w:tc>
        <w:tc>
          <w:tcPr/>
          <w:p>
            <w:pPr>
              <w:pStyle w:val="Compact"/>
              <w:jc w:val="left"/>
            </w:pPr>
            <w:r>
              <w:t xml:space="preserve">Mjösund</w:t>
            </w:r>
          </w:p>
        </w:tc>
        <w:tc>
          <w:tcPr/>
          <w:p>
            <w:pPr>
              <w:pStyle w:val="Compact"/>
              <w:jc w:val="right"/>
            </w:pPr>
            <w:r>
              <w:t xml:space="preserve">90.5</w:t>
            </w:r>
          </w:p>
        </w:tc>
        <w:tc>
          <w:tcPr/>
          <w:p>
            <w:pPr>
              <w:pStyle w:val="Compact"/>
              <w:jc w:val="right"/>
            </w:pPr>
            <w:r>
              <w:t xml:space="preserve">73.2</w:t>
            </w:r>
          </w:p>
        </w:tc>
        <w:tc>
          <w:tcPr/>
          <w:p>
            <w:pPr>
              <w:pStyle w:val="Compact"/>
              <w:jc w:val="right"/>
            </w:pPr>
            <w:r>
              <w:t xml:space="preserve">114.3</w:t>
            </w:r>
          </w:p>
        </w:tc>
        <w:tc>
          <w:tcPr/>
          <w:p>
            <w:pPr>
              <w:pStyle w:val="Compact"/>
              <w:jc w:val="right"/>
            </w:pPr>
            <w:r>
              <w:t xml:space="preserve">71.8</w:t>
            </w:r>
          </w:p>
        </w:tc>
        <w:tc>
          <w:tcPr/>
          <w:p>
            <w:pPr>
              <w:pStyle w:val="Compact"/>
              <w:jc w:val="right"/>
            </w:pPr>
            <w:r>
              <w:t xml:space="preserve">102.9</w:t>
            </w:r>
          </w:p>
        </w:tc>
      </w:tr>
      <w:tr>
        <w:tc>
          <w:tcPr/>
          <w:p>
            <w:pPr>
              <w:pStyle w:val="Compact"/>
              <w:jc w:val="left"/>
            </w:pPr>
            <w:r>
              <w:t xml:space="preserve">25930</w:t>
            </w:r>
          </w:p>
        </w:tc>
        <w:tc>
          <w:tcPr/>
          <w:p>
            <w:pPr>
              <w:pStyle w:val="Compact"/>
              <w:jc w:val="left"/>
            </w:pPr>
            <w:r>
              <w:t xml:space="preserve">Kasnäs</w:t>
            </w:r>
          </w:p>
        </w:tc>
        <w:tc>
          <w:tcPr/>
          <w:p>
            <w:pPr>
              <w:pStyle w:val="Compact"/>
              <w:jc w:val="right"/>
            </w:pPr>
            <w:r>
              <w:t xml:space="preserve">90.0</w:t>
            </w:r>
          </w:p>
        </w:tc>
        <w:tc>
          <w:tcPr/>
          <w:p>
            <w:pPr>
              <w:pStyle w:val="Compact"/>
              <w:jc w:val="right"/>
            </w:pPr>
            <w:r>
              <w:t xml:space="preserve">81.5</w:t>
            </w:r>
          </w:p>
        </w:tc>
        <w:tc>
          <w:tcPr/>
          <w:p>
            <w:pPr>
              <w:pStyle w:val="Compact"/>
              <w:jc w:val="right"/>
            </w:pPr>
            <w:r>
              <w:t xml:space="preserve">130.4</w:t>
            </w:r>
          </w:p>
        </w:tc>
        <w:tc>
          <w:tcPr/>
          <w:p>
            <w:pPr>
              <w:pStyle w:val="Compact"/>
              <w:jc w:val="right"/>
            </w:pPr>
            <w:r>
              <w:t xml:space="preserve">25.8</w:t>
            </w:r>
          </w:p>
        </w:tc>
        <w:tc>
          <w:tcPr/>
          <w:p>
            <w:pPr>
              <w:pStyle w:val="Compact"/>
              <w:jc w:val="right"/>
            </w:pPr>
            <w:r>
              <w:t xml:space="preserve">122.3</w:t>
            </w:r>
          </w:p>
        </w:tc>
      </w:tr>
      <w:tr>
        <w:tc>
          <w:tcPr/>
          <w:p>
            <w:pPr>
              <w:pStyle w:val="Compact"/>
              <w:jc w:val="left"/>
            </w:pPr>
            <w:r>
              <w:t xml:space="preserve">25650</w:t>
            </w:r>
          </w:p>
        </w:tc>
        <w:tc>
          <w:tcPr/>
          <w:p>
            <w:pPr>
              <w:pStyle w:val="Compact"/>
              <w:jc w:val="left"/>
            </w:pPr>
            <w:r>
              <w:t xml:space="preserve">Strömma</w:t>
            </w:r>
          </w:p>
        </w:tc>
        <w:tc>
          <w:tcPr/>
          <w:p>
            <w:pPr>
              <w:pStyle w:val="Compact"/>
              <w:jc w:val="right"/>
            </w:pPr>
            <w:r>
              <w:t xml:space="preserve">89.7</w:t>
            </w:r>
          </w:p>
        </w:tc>
        <w:tc>
          <w:tcPr/>
          <w:p>
            <w:pPr>
              <w:pStyle w:val="Compact"/>
              <w:jc w:val="right"/>
            </w:pPr>
            <w:r>
              <w:t xml:space="preserve">100.8</w:t>
            </w:r>
          </w:p>
        </w:tc>
        <w:tc>
          <w:tcPr/>
          <w:p>
            <w:pPr>
              <w:pStyle w:val="Compact"/>
              <w:jc w:val="right"/>
            </w:pPr>
            <w:r>
              <w:t xml:space="preserve">94.9</w:t>
            </w:r>
          </w:p>
        </w:tc>
        <w:tc>
          <w:tcPr/>
          <w:p>
            <w:pPr>
              <w:pStyle w:val="Compact"/>
              <w:jc w:val="right"/>
            </w:pPr>
            <w:r>
              <w:t xml:space="preserve">64.3</w:t>
            </w:r>
          </w:p>
        </w:tc>
        <w:tc>
          <w:tcPr/>
          <w:p>
            <w:pPr>
              <w:pStyle w:val="Compact"/>
              <w:jc w:val="right"/>
            </w:pPr>
            <w:r>
              <w:t xml:space="preserve">98.8</w:t>
            </w:r>
          </w:p>
        </w:tc>
      </w:tr>
      <w:tr>
        <w:tc>
          <w:tcPr/>
          <w:p>
            <w:pPr>
              <w:pStyle w:val="Compact"/>
              <w:jc w:val="left"/>
            </w:pPr>
            <w:r>
              <w:t xml:space="preserve">25710</w:t>
            </w:r>
          </w:p>
        </w:tc>
        <w:tc>
          <w:tcPr/>
          <w:p>
            <w:pPr>
              <w:pStyle w:val="Compact"/>
              <w:jc w:val="left"/>
            </w:pPr>
            <w:r>
              <w:t xml:space="preserve">Vreta-Vestlax</w:t>
            </w:r>
          </w:p>
        </w:tc>
        <w:tc>
          <w:tcPr/>
          <w:p>
            <w:pPr>
              <w:pStyle w:val="Compact"/>
              <w:jc w:val="right"/>
            </w:pPr>
            <w:r>
              <w:t xml:space="preserve">88.2</w:t>
            </w:r>
          </w:p>
        </w:tc>
        <w:tc>
          <w:tcPr/>
          <w:p>
            <w:pPr>
              <w:pStyle w:val="Compact"/>
              <w:jc w:val="right"/>
            </w:pPr>
            <w:r>
              <w:t xml:space="preserve">107.4</w:t>
            </w:r>
          </w:p>
        </w:tc>
        <w:tc>
          <w:tcPr/>
          <w:p>
            <w:pPr>
              <w:pStyle w:val="Compact"/>
              <w:jc w:val="right"/>
            </w:pPr>
            <w:r>
              <w:t xml:space="preserve">105.4</w:t>
            </w:r>
          </w:p>
        </w:tc>
        <w:tc>
          <w:tcPr/>
          <w:p>
            <w:pPr>
              <w:pStyle w:val="Compact"/>
              <w:jc w:val="right"/>
            </w:pPr>
            <w:r>
              <w:t xml:space="preserve">61.1</w:t>
            </w:r>
          </w:p>
        </w:tc>
        <w:tc>
          <w:tcPr/>
          <w:p>
            <w:pPr>
              <w:pStyle w:val="Compact"/>
              <w:jc w:val="right"/>
            </w:pPr>
            <w:r>
              <w:t xml:space="preserve">79.0</w:t>
            </w:r>
          </w:p>
        </w:tc>
      </w:tr>
      <w:tr>
        <w:tc>
          <w:tcPr/>
          <w:p>
            <w:pPr>
              <w:pStyle w:val="Compact"/>
              <w:jc w:val="left"/>
            </w:pPr>
            <w:r>
              <w:t xml:space="preserve">25830</w:t>
            </w:r>
          </w:p>
        </w:tc>
        <w:tc>
          <w:tcPr/>
          <w:p>
            <w:pPr>
              <w:pStyle w:val="Compact"/>
              <w:jc w:val="left"/>
            </w:pPr>
            <w:r>
              <w:t xml:space="preserve">Västanfjärd Keskus</w:t>
            </w:r>
          </w:p>
        </w:tc>
        <w:tc>
          <w:tcPr/>
          <w:p>
            <w:pPr>
              <w:pStyle w:val="Compact"/>
              <w:jc w:val="right"/>
            </w:pPr>
            <w:r>
              <w:t xml:space="preserve">88.1</w:t>
            </w:r>
          </w:p>
        </w:tc>
        <w:tc>
          <w:tcPr/>
          <w:p>
            <w:pPr>
              <w:pStyle w:val="Compact"/>
              <w:jc w:val="right"/>
            </w:pPr>
            <w:r>
              <w:t xml:space="preserve">88.9</w:t>
            </w:r>
          </w:p>
        </w:tc>
        <w:tc>
          <w:tcPr/>
          <w:p>
            <w:pPr>
              <w:pStyle w:val="Compact"/>
              <w:jc w:val="right"/>
            </w:pPr>
            <w:r>
              <w:t xml:space="preserve">91.6</w:t>
            </w:r>
          </w:p>
        </w:tc>
        <w:tc>
          <w:tcPr/>
          <w:p>
            <w:pPr>
              <w:pStyle w:val="Compact"/>
              <w:jc w:val="right"/>
            </w:pPr>
            <w:r>
              <w:t xml:space="preserve">72.7</w:t>
            </w:r>
          </w:p>
        </w:tc>
        <w:tc>
          <w:tcPr/>
          <w:p>
            <w:pPr>
              <w:pStyle w:val="Compact"/>
              <w:jc w:val="right"/>
            </w:pPr>
            <w:r>
              <w:t xml:space="preserve">99.4</w:t>
            </w:r>
          </w:p>
        </w:tc>
      </w:tr>
      <w:tr>
        <w:tc>
          <w:tcPr/>
          <w:p>
            <w:pPr>
              <w:pStyle w:val="Compact"/>
              <w:jc w:val="left"/>
            </w:pPr>
            <w:r>
              <w:t xml:space="preserve">25840</w:t>
            </w:r>
          </w:p>
        </w:tc>
        <w:tc>
          <w:tcPr/>
          <w:p>
            <w:pPr>
              <w:pStyle w:val="Compact"/>
              <w:jc w:val="left"/>
            </w:pPr>
            <w:r>
              <w:t xml:space="preserve">Nivelax</w:t>
            </w:r>
          </w:p>
        </w:tc>
        <w:tc>
          <w:tcPr/>
          <w:p>
            <w:pPr>
              <w:pStyle w:val="Compact"/>
              <w:jc w:val="right"/>
            </w:pPr>
            <w:r>
              <w:t xml:space="preserve">88.0</w:t>
            </w:r>
          </w:p>
        </w:tc>
        <w:tc>
          <w:tcPr/>
          <w:p>
            <w:pPr>
              <w:pStyle w:val="Compact"/>
              <w:jc w:val="right"/>
            </w:pPr>
            <w:r>
              <w:t xml:space="preserve">74.2</w:t>
            </w:r>
          </w:p>
        </w:tc>
        <w:tc>
          <w:tcPr/>
          <w:p>
            <w:pPr>
              <w:pStyle w:val="Compact"/>
              <w:jc w:val="right"/>
            </w:pPr>
            <w:r>
              <w:t xml:space="preserve">94.2</w:t>
            </w:r>
          </w:p>
        </w:tc>
        <w:tc>
          <w:tcPr/>
          <w:p>
            <w:pPr>
              <w:pStyle w:val="Compact"/>
              <w:jc w:val="right"/>
            </w:pPr>
            <w:r>
              <w:t xml:space="preserve">90.0</w:t>
            </w:r>
          </w:p>
        </w:tc>
        <w:tc>
          <w:tcPr/>
          <w:p>
            <w:pPr>
              <w:pStyle w:val="Compact"/>
              <w:jc w:val="right"/>
            </w:pPr>
            <w:r>
              <w:t xml:space="preserve">93.7</w:t>
            </w:r>
          </w:p>
        </w:tc>
      </w:tr>
      <w:tr>
        <w:tc>
          <w:tcPr/>
          <w:p>
            <w:pPr>
              <w:pStyle w:val="Compact"/>
              <w:jc w:val="left"/>
            </w:pPr>
            <w:r>
              <w:t xml:space="preserve">25950</w:t>
            </w:r>
          </w:p>
        </w:tc>
        <w:tc>
          <w:tcPr/>
          <w:p>
            <w:pPr>
              <w:pStyle w:val="Compact"/>
              <w:jc w:val="left"/>
            </w:pPr>
            <w:r>
              <w:t xml:space="preserve">Rosala-Kasnäs-Hitis</w:t>
            </w:r>
          </w:p>
        </w:tc>
        <w:tc>
          <w:tcPr/>
          <w:p>
            <w:pPr>
              <w:pStyle w:val="Compact"/>
              <w:jc w:val="right"/>
            </w:pPr>
            <w:r>
              <w:t xml:space="preserve">86.8</w:t>
            </w:r>
          </w:p>
        </w:tc>
        <w:tc>
          <w:tcPr/>
          <w:p>
            <w:pPr>
              <w:pStyle w:val="Compact"/>
              <w:jc w:val="right"/>
            </w:pPr>
            <w:r>
              <w:t xml:space="preserve">80.4</w:t>
            </w:r>
          </w:p>
        </w:tc>
        <w:tc>
          <w:tcPr/>
          <w:p>
            <w:pPr>
              <w:pStyle w:val="Compact"/>
              <w:jc w:val="right"/>
            </w:pPr>
            <w:r>
              <w:t xml:space="preserve">102.7</w:t>
            </w:r>
          </w:p>
        </w:tc>
        <w:tc>
          <w:tcPr/>
          <w:p>
            <w:pPr>
              <w:pStyle w:val="Compact"/>
              <w:jc w:val="right"/>
            </w:pPr>
            <w:r>
              <w:t xml:space="preserve">52.0</w:t>
            </w:r>
          </w:p>
        </w:tc>
        <w:tc>
          <w:tcPr/>
          <w:p>
            <w:pPr>
              <w:pStyle w:val="Compact"/>
              <w:jc w:val="right"/>
            </w:pPr>
            <w:r>
              <w:t xml:space="preserve">112.3</w:t>
            </w:r>
          </w:p>
        </w:tc>
      </w:tr>
      <w:tr>
        <w:tc>
          <w:tcPr/>
          <w:p>
            <w:pPr>
              <w:pStyle w:val="Compact"/>
              <w:jc w:val="left"/>
            </w:pPr>
            <w:r>
              <w:t xml:space="preserve">25960</w:t>
            </w:r>
          </w:p>
        </w:tc>
        <w:tc>
          <w:tcPr/>
          <w:p>
            <w:pPr>
              <w:pStyle w:val="Compact"/>
              <w:jc w:val="left"/>
            </w:pPr>
            <w:r>
              <w:t xml:space="preserve">Högsåra</w:t>
            </w:r>
          </w:p>
        </w:tc>
        <w:tc>
          <w:tcPr/>
          <w:p>
            <w:pPr>
              <w:pStyle w:val="Compact"/>
              <w:jc w:val="right"/>
            </w:pPr>
            <w:r>
              <w:t xml:space="preserve">79.1</w:t>
            </w:r>
          </w:p>
        </w:tc>
        <w:tc>
          <w:tcPr/>
          <w:p>
            <w:pPr>
              <w:pStyle w:val="Compact"/>
              <w:jc w:val="right"/>
            </w:pPr>
            <w:r>
              <w:t xml:space="preserve">NA</w:t>
            </w:r>
          </w:p>
        </w:tc>
        <w:tc>
          <w:tcPr/>
          <w:p>
            <w:pPr>
              <w:pStyle w:val="Compact"/>
              <w:jc w:val="right"/>
            </w:pPr>
            <w:r>
              <w:t xml:space="preserve">97.5</w:t>
            </w:r>
          </w:p>
        </w:tc>
        <w:tc>
          <w:tcPr/>
          <w:p>
            <w:pPr>
              <w:pStyle w:val="Compact"/>
              <w:jc w:val="right"/>
            </w:pPr>
            <w:r>
              <w:t xml:space="preserve">44.5</w:t>
            </w:r>
          </w:p>
        </w:tc>
        <w:tc>
          <w:tcPr/>
          <w:p>
            <w:pPr>
              <w:pStyle w:val="Compact"/>
              <w:jc w:val="right"/>
            </w:pPr>
            <w:r>
              <w:t xml:space="preserve">95.4</w:t>
            </w:r>
          </w:p>
        </w:tc>
      </w:tr>
      <w:tr>
        <w:tc>
          <w:tcPr/>
          <w:p>
            <w:pPr>
              <w:pStyle w:val="Compact"/>
              <w:jc w:val="left"/>
            </w:pPr>
            <w:r>
              <w:t xml:space="preserve">25820</w:t>
            </w:r>
          </w:p>
        </w:tc>
        <w:tc>
          <w:tcPr/>
          <w:p>
            <w:pPr>
              <w:pStyle w:val="Compact"/>
              <w:jc w:val="left"/>
            </w:pPr>
            <w:r>
              <w:t xml:space="preserve">Vestlax</w:t>
            </w:r>
          </w:p>
        </w:tc>
        <w:tc>
          <w:tcPr/>
          <w:p>
            <w:pPr>
              <w:pStyle w:val="Compact"/>
              <w:jc w:val="right"/>
            </w:pPr>
            <w:r>
              <w:t xml:space="preserve">73.4</w:t>
            </w:r>
          </w:p>
        </w:tc>
        <w:tc>
          <w:tcPr/>
          <w:p>
            <w:pPr>
              <w:pStyle w:val="Compact"/>
              <w:jc w:val="right"/>
            </w:pPr>
            <w:r>
              <w:t xml:space="preserve">71.5</w:t>
            </w:r>
          </w:p>
        </w:tc>
        <w:tc>
          <w:tcPr/>
          <w:p>
            <w:pPr>
              <w:pStyle w:val="Compact"/>
              <w:jc w:val="right"/>
            </w:pPr>
            <w:r>
              <w:t xml:space="preserve">85.9</w:t>
            </w:r>
          </w:p>
        </w:tc>
        <w:tc>
          <w:tcPr/>
          <w:p>
            <w:pPr>
              <w:pStyle w:val="Compact"/>
              <w:jc w:val="right"/>
            </w:pPr>
            <w:r>
              <w:t xml:space="preserve">66.6</w:t>
            </w:r>
          </w:p>
        </w:tc>
        <w:tc>
          <w:tcPr/>
          <w:p>
            <w:pPr>
              <w:pStyle w:val="Compact"/>
              <w:jc w:val="right"/>
            </w:pPr>
            <w:r>
              <w:t xml:space="preserve">69.5</w:t>
            </w:r>
          </w:p>
        </w:tc>
      </w:tr>
      <w:tr>
        <w:tc>
          <w:tcPr/>
          <w:p>
            <w:pPr>
              <w:pStyle w:val="Compact"/>
              <w:jc w:val="left"/>
            </w:pPr>
            <w:r>
              <w:t xml:space="preserve">25910</w:t>
            </w:r>
          </w:p>
        </w:tc>
        <w:tc>
          <w:tcPr/>
          <w:p>
            <w:pPr>
              <w:pStyle w:val="Compact"/>
              <w:jc w:val="left"/>
            </w:pPr>
            <w:r>
              <w:t xml:space="preserve">Vänoxa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emionsaar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emionsaar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emionsaar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emionsaar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Kemiönsaari (Kunnat)</dc:title>
  <dc:creator>Diakin karttasovellus 2023-02-28 10:05:09</dc:creator>
  <cp:keywords/>
  <dcterms:created xsi:type="dcterms:W3CDTF">2023-02-28T08:06:17Z</dcterms:created>
  <dcterms:modified xsi:type="dcterms:W3CDTF">2023-02-28T08:06:17Z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