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Keuruu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20:09:56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20:09:56.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Keuruu. Lisäksi tarkastelussa ovat rajanaapurit: Ylä-Pirkanmaa, Jyväskylä, Keuruu, Jämsä, Saarijärvi-Viitasaari ja Kuusiokunnat.</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uru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uru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Keuruu (valittu)</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Ylä-Pirkanmaa (naapuri)</w:t>
            </w:r>
          </w:p>
        </w:tc>
        <w:tc>
          <w:tcPr/>
          <w:p>
            <w:pPr>
              <w:pStyle w:val="Compact"/>
              <w:jc w:val="right"/>
            </w:pPr>
            <w:r>
              <w:t xml:space="preserve">90.5</w:t>
            </w:r>
          </w:p>
        </w:tc>
        <w:tc>
          <w:tcPr/>
          <w:p>
            <w:pPr>
              <w:pStyle w:val="Compact"/>
              <w:jc w:val="right"/>
            </w:pPr>
            <w:r>
              <w:t xml:space="preserve">49</w:t>
            </w:r>
          </w:p>
        </w:tc>
      </w:tr>
      <w:tr>
        <w:tc>
          <w:tcPr/>
          <w:p>
            <w:pPr>
              <w:pStyle w:val="Compact"/>
              <w:jc w:val="left"/>
            </w:pPr>
            <w:r>
              <w:t xml:space="preserve">Kuusiokunnat (naapuri)</w:t>
            </w:r>
          </w:p>
        </w:tc>
        <w:tc>
          <w:tcPr/>
          <w:p>
            <w:pPr>
              <w:pStyle w:val="Compact"/>
              <w:jc w:val="right"/>
            </w:pPr>
            <w:r>
              <w:t xml:space="preserve">85.5</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Keuruu (valittu)</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95.1</w:t>
            </w:r>
          </w:p>
        </w:tc>
        <w:tc>
          <w:tcPr/>
          <w:p>
            <w:pPr>
              <w:pStyle w:val="Compact"/>
              <w:jc w:val="right"/>
            </w:pPr>
            <w:r>
              <w:t xml:space="preserve">40</w:t>
            </w:r>
          </w:p>
        </w:tc>
      </w:tr>
      <w:tr>
        <w:tc>
          <w:tcPr/>
          <w:p>
            <w:pPr>
              <w:pStyle w:val="Compact"/>
              <w:jc w:val="left"/>
            </w:pPr>
            <w:r>
              <w:t xml:space="preserve">Kuusiokunnat (naapuri)</w:t>
            </w:r>
          </w:p>
        </w:tc>
        <w:tc>
          <w:tcPr/>
          <w:p>
            <w:pPr>
              <w:pStyle w:val="Compact"/>
              <w:jc w:val="right"/>
            </w:pPr>
            <w:r>
              <w:t xml:space="preserve">77.2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(valittu)</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51</w:t>
            </w:r>
          </w:p>
        </w:tc>
      </w:tr>
      <w:tr>
        <w:tc>
          <w:tcPr/>
          <w:p>
            <w:pPr>
              <w:pStyle w:val="Compact"/>
              <w:jc w:val="left"/>
            </w:pPr>
            <w:r>
              <w:t xml:space="preserve">Ylä-Pirkanmaa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Keuruu (valittu)</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90.9</w:t>
            </w:r>
          </w:p>
        </w:tc>
        <w:tc>
          <w:tcPr/>
          <w:p>
            <w:pPr>
              <w:pStyle w:val="Compact"/>
              <w:jc w:val="right"/>
            </w:pPr>
            <w:r>
              <w:t xml:space="preserve">47</w:t>
            </w:r>
          </w:p>
        </w:tc>
      </w:tr>
      <w:tr>
        <w:tc>
          <w:tcPr/>
          <w:p>
            <w:pPr>
              <w:pStyle w:val="Compact"/>
              <w:jc w:val="left"/>
            </w:pPr>
            <w:r>
              <w:t xml:space="preserve">Ylä-Pirkanmaa (naapuri)</w:t>
            </w:r>
          </w:p>
        </w:tc>
        <w:tc>
          <w:tcPr/>
          <w:p>
            <w:pPr>
              <w:pStyle w:val="Compact"/>
              <w:jc w:val="right"/>
            </w:pPr>
            <w:r>
              <w:t xml:space="preserve">88.3</w:t>
            </w:r>
          </w:p>
        </w:tc>
        <w:tc>
          <w:tcPr/>
          <w:p>
            <w:pPr>
              <w:pStyle w:val="Compact"/>
              <w:jc w:val="right"/>
            </w:pPr>
            <w:r>
              <w:t xml:space="preserve">52</w:t>
            </w:r>
          </w:p>
        </w:tc>
      </w:tr>
      <w:tr>
        <w:tc>
          <w:tcPr/>
          <w:p>
            <w:pPr>
              <w:pStyle w:val="Compact"/>
              <w:jc w:val="left"/>
            </w:pPr>
            <w:r>
              <w:t xml:space="preserve">Jämsä (naapuri)</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uru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uru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Jämsä (naapuri)</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Keuruu (valittu)</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Ylä-Pirkanmaa (naapuri)</w:t>
            </w:r>
          </w:p>
        </w:tc>
        <w:tc>
          <w:tcPr/>
          <w:p>
            <w:pPr>
              <w:pStyle w:val="Compact"/>
              <w:jc w:val="right"/>
            </w:pPr>
            <w:r>
              <w:t xml:space="preserve">90.9</w:t>
            </w:r>
          </w:p>
        </w:tc>
        <w:tc>
          <w:tcPr/>
          <w:p>
            <w:pPr>
              <w:pStyle w:val="Compact"/>
              <w:jc w:val="right"/>
            </w:pPr>
            <w:r>
              <w:t xml:space="preserve">44</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47</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Keuruu (valittu)</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Ylä-Pirkanmaa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Kuusiokunnat (naapuri)</w:t>
            </w:r>
          </w:p>
        </w:tc>
        <w:tc>
          <w:tcPr/>
          <w:p>
            <w:pPr>
              <w:pStyle w:val="Compact"/>
              <w:jc w:val="right"/>
            </w:pPr>
            <w:r>
              <w:t xml:space="preserve">82.3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Keuruu (valittu)</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Ylä-Pirkanmaa (naapuri)</w:t>
            </w:r>
          </w:p>
        </w:tc>
        <w:tc>
          <w:tcPr/>
          <w:p>
            <w:pPr>
              <w:pStyle w:val="Compact"/>
              <w:jc w:val="right"/>
            </w:pPr>
            <w:r>
              <w:t xml:space="preserve">73.5</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38.6</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Keuruu (valittu)</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Kuusiokunnat (naapuri)</w:t>
            </w:r>
          </w:p>
        </w:tc>
        <w:tc>
          <w:tcPr/>
          <w:p>
            <w:pPr>
              <w:pStyle w:val="Compact"/>
              <w:jc w:val="right"/>
            </w:pPr>
            <w:r>
              <w:t xml:space="preserve">87.0</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Keuruu (valittu)</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Ylä-Pirkanmaa (naapuri)</w:t>
            </w:r>
          </w:p>
        </w:tc>
        <w:tc>
          <w:tcPr/>
          <w:p>
            <w:pPr>
              <w:pStyle w:val="Compact"/>
              <w:jc w:val="right"/>
            </w:pPr>
            <w:r>
              <w:t xml:space="preserve">105.1</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62.7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Keuruu (valittu)</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Kuusiokunnat (naapuri)</w:t>
            </w:r>
          </w:p>
        </w:tc>
        <w:tc>
          <w:tcPr/>
          <w:p>
            <w:pPr>
              <w:pStyle w:val="Compact"/>
              <w:jc w:val="right"/>
            </w:pPr>
            <w:r>
              <w:t xml:space="preserve">105.8</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104.9</w:t>
            </w:r>
          </w:p>
        </w:tc>
        <w:tc>
          <w:tcPr/>
          <w:p>
            <w:pPr>
              <w:pStyle w:val="Compact"/>
              <w:jc w:val="right"/>
            </w:pPr>
            <w:r>
              <w:t xml:space="preserve">29</w:t>
            </w:r>
          </w:p>
        </w:tc>
      </w:tr>
      <w:tr>
        <w:tc>
          <w:tcPr/>
          <w:p>
            <w:pPr>
              <w:pStyle w:val="Compact"/>
              <w:jc w:val="left"/>
            </w:pPr>
            <w:r>
              <w:t xml:space="preserve">Jämsä (naapuri)</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euru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euru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Keuruu (valittu)</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Kuusiokunnat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Ylä-Pirkanmaa (naapuri)</w:t>
            </w:r>
          </w:p>
        </w:tc>
        <w:tc>
          <w:tcPr/>
          <w:p>
            <w:pPr>
              <w:pStyle w:val="Compact"/>
              <w:jc w:val="right"/>
            </w:pPr>
            <w:r>
              <w:t xml:space="preserve">83.3</w:t>
            </w:r>
          </w:p>
        </w:tc>
        <w:tc>
          <w:tcPr/>
          <w:p>
            <w:pPr>
              <w:pStyle w:val="Compact"/>
              <w:jc w:val="right"/>
            </w:pPr>
            <w:r>
              <w:t xml:space="preserve">47</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Keuruu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Kuusiokunnat (naapuri)</w:t>
            </w:r>
          </w:p>
        </w:tc>
        <w:tc>
          <w:tcPr/>
          <w:p>
            <w:pPr>
              <w:pStyle w:val="Compact"/>
              <w:jc w:val="right"/>
            </w:pPr>
            <w:r>
              <w:t xml:space="preserve">82.0</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81.4</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Ylä-Pirkanmaa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Keuruu (valittu)</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79.6</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Keuruu (valittu)</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Ylä-Pirkanmaa (naapuri)</w:t>
            </w:r>
          </w:p>
        </w:tc>
        <w:tc>
          <w:tcPr/>
          <w:p>
            <w:pPr>
              <w:pStyle w:val="Compact"/>
              <w:jc w:val="right"/>
            </w:pPr>
            <w:r>
              <w:t xml:space="preserve">97.3</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euru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euru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Keuruu (valittu)</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Ylä-Pirkanmaa (naapuri)</w:t>
            </w:r>
          </w:p>
        </w:tc>
        <w:tc>
          <w:tcPr/>
          <w:p>
            <w:pPr>
              <w:pStyle w:val="Compact"/>
              <w:jc w:val="right"/>
            </w:pPr>
            <w:r>
              <w:t xml:space="preserve">56.3</w:t>
            </w:r>
          </w:p>
        </w:tc>
        <w:tc>
          <w:tcPr/>
          <w:p>
            <w:pPr>
              <w:pStyle w:val="Compact"/>
              <w:jc w:val="right"/>
            </w:pPr>
            <w:r>
              <w:t xml:space="preserve">58</w:t>
            </w:r>
          </w:p>
        </w:tc>
      </w:tr>
      <w:tr>
        <w:tc>
          <w:tcPr/>
          <w:p>
            <w:pPr>
              <w:pStyle w:val="Compact"/>
              <w:jc w:val="left"/>
            </w:pPr>
            <w:r>
              <w:t xml:space="preserve">Kuusiokunnat (naapuri)</w:t>
            </w:r>
          </w:p>
        </w:tc>
        <w:tc>
          <w:tcPr/>
          <w:p>
            <w:pPr>
              <w:pStyle w:val="Compact"/>
              <w:jc w:val="right"/>
            </w:pPr>
            <w:r>
              <w:t xml:space="preserve">53.9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127.1</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Keuruu (valittu)</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77.5</w:t>
            </w:r>
          </w:p>
        </w:tc>
        <w:tc>
          <w:tcPr/>
          <w:p>
            <w:pPr>
              <w:pStyle w:val="Compact"/>
              <w:jc w:val="right"/>
            </w:pPr>
            <w:r>
              <w:t xml:space="preserve">51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Keuruu (valittu)</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49.2</w:t>
            </w:r>
          </w:p>
        </w:tc>
        <w:tc>
          <w:tcPr/>
          <w:p>
            <w:pPr>
              <w:pStyle w:val="Compact"/>
              <w:jc w:val="right"/>
            </w:pPr>
            <w:r>
              <w:t xml:space="preserve">62</w:t>
            </w:r>
          </w:p>
        </w:tc>
      </w:tr>
      <w:tr>
        <w:tc>
          <w:tcPr/>
          <w:p>
            <w:pPr>
              <w:pStyle w:val="Compact"/>
              <w:jc w:val="left"/>
            </w:pPr>
            <w:r>
              <w:t xml:space="preserve">Jämsä (naapuri)</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Keuruu (valittu)</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94.4</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68.5</w:t>
            </w:r>
          </w:p>
        </w:tc>
        <w:tc>
          <w:tcPr/>
          <w:p>
            <w:pPr>
              <w:pStyle w:val="Compact"/>
              <w:jc w:val="right"/>
            </w:pPr>
            <w:r>
              <w:t xml:space="preserve">54</w:t>
            </w:r>
          </w:p>
        </w:tc>
      </w:tr>
      <w:tr>
        <w:tc>
          <w:tcPr/>
          <w:p>
            <w:pPr>
              <w:pStyle w:val="Compact"/>
              <w:jc w:val="left"/>
            </w:pPr>
            <w:r>
              <w:t xml:space="preserve">Jämsä (naapuri)</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Ylä-Pirkanmaa (naapuri)</w:t>
            </w:r>
          </w:p>
        </w:tc>
        <w:tc>
          <w:tcPr/>
          <w:p>
            <w:pPr>
              <w:pStyle w:val="Compact"/>
              <w:jc w:val="right"/>
            </w:pPr>
            <w:r>
              <w:t xml:space="preserve">164.3</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Keuruu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Kuusiokunnat (naapuri)</w:t>
            </w:r>
          </w:p>
        </w:tc>
        <w:tc>
          <w:tcPr/>
          <w:p>
            <w:pPr>
              <w:pStyle w:val="Compact"/>
              <w:jc w:val="right"/>
            </w:pPr>
            <w:r>
              <w:t xml:space="preserve">78.6</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euru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42720</w:t>
            </w:r>
          </w:p>
        </w:tc>
        <w:tc>
          <w:tcPr/>
          <w:p>
            <w:pPr>
              <w:pStyle w:val="Compact"/>
              <w:jc w:val="left"/>
            </w:pPr>
            <w:r>
              <w:t xml:space="preserve">Valkealahti</w:t>
            </w:r>
          </w:p>
        </w:tc>
        <w:tc>
          <w:tcPr/>
          <w:p>
            <w:pPr>
              <w:pStyle w:val="Compact"/>
              <w:jc w:val="right"/>
            </w:pPr>
            <w:r>
              <w:t xml:space="preserve">181.4</w:t>
            </w:r>
          </w:p>
        </w:tc>
        <w:tc>
          <w:tcPr/>
          <w:p>
            <w:pPr>
              <w:pStyle w:val="Compact"/>
              <w:jc w:val="right"/>
            </w:pPr>
            <w:r>
              <w:t xml:space="preserve">161.8</w:t>
            </w:r>
          </w:p>
        </w:tc>
        <w:tc>
          <w:tcPr/>
          <w:p>
            <w:pPr>
              <w:pStyle w:val="Compact"/>
              <w:jc w:val="right"/>
            </w:pPr>
            <w:r>
              <w:t xml:space="preserve">135.5</w:t>
            </w:r>
          </w:p>
        </w:tc>
        <w:tc>
          <w:tcPr/>
          <w:p>
            <w:pPr>
              <w:pStyle w:val="Compact"/>
              <w:jc w:val="right"/>
            </w:pPr>
            <w:r>
              <w:t xml:space="preserve">299.4</w:t>
            </w:r>
          </w:p>
        </w:tc>
        <w:tc>
          <w:tcPr/>
          <w:p>
            <w:pPr>
              <w:pStyle w:val="Compact"/>
              <w:jc w:val="right"/>
            </w:pPr>
            <w:r>
              <w:t xml:space="preserve">128.9</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155.1</w:t>
            </w:r>
          </w:p>
        </w:tc>
        <w:tc>
          <w:tcPr/>
          <w:p>
            <w:pPr>
              <w:pStyle w:val="Compact"/>
              <w:jc w:val="right"/>
            </w:pPr>
            <w:r>
              <w:t xml:space="preserve">159.7</w:t>
            </w:r>
          </w:p>
        </w:tc>
        <w:tc>
          <w:tcPr/>
          <w:p>
            <w:pPr>
              <w:pStyle w:val="Compact"/>
              <w:jc w:val="right"/>
            </w:pPr>
            <w:r>
              <w:t xml:space="preserve">165.4</w:t>
            </w:r>
          </w:p>
        </w:tc>
        <w:tc>
          <w:tcPr/>
          <w:p>
            <w:pPr>
              <w:pStyle w:val="Compact"/>
              <w:jc w:val="right"/>
            </w:pPr>
            <w:r>
              <w:t xml:space="preserve">177.9</w:t>
            </w:r>
          </w:p>
        </w:tc>
        <w:tc>
          <w:tcPr/>
          <w:p>
            <w:pPr>
              <w:pStyle w:val="Compact"/>
              <w:jc w:val="right"/>
            </w:pPr>
            <w:r>
              <w:t xml:space="preserve">117.3</w:t>
            </w:r>
          </w:p>
        </w:tc>
      </w:tr>
      <w:tr>
        <w:tc>
          <w:tcPr/>
          <w:p>
            <w:pPr>
              <w:pStyle w:val="Compact"/>
              <w:jc w:val="left"/>
            </w:pPr>
            <w:r>
              <w:t xml:space="preserve">41970</w:t>
            </w:r>
          </w:p>
        </w:tc>
        <w:tc>
          <w:tcPr/>
          <w:p>
            <w:pPr>
              <w:pStyle w:val="Compact"/>
              <w:jc w:val="left"/>
            </w:pPr>
            <w:r>
              <w:t xml:space="preserve">Huttula</w:t>
            </w:r>
          </w:p>
        </w:tc>
        <w:tc>
          <w:tcPr/>
          <w:p>
            <w:pPr>
              <w:pStyle w:val="Compact"/>
              <w:jc w:val="right"/>
            </w:pPr>
            <w:r>
              <w:t xml:space="preserve">148.3</w:t>
            </w:r>
          </w:p>
        </w:tc>
        <w:tc>
          <w:tcPr/>
          <w:p>
            <w:pPr>
              <w:pStyle w:val="Compact"/>
              <w:jc w:val="right"/>
            </w:pPr>
            <w:r>
              <w:t xml:space="preserve">NA</w:t>
            </w:r>
          </w:p>
        </w:tc>
        <w:tc>
          <w:tcPr/>
          <w:p>
            <w:pPr>
              <w:pStyle w:val="Compact"/>
              <w:jc w:val="right"/>
            </w:pPr>
            <w:r>
              <w:t xml:space="preserve">106.2</w:t>
            </w:r>
          </w:p>
        </w:tc>
        <w:tc>
          <w:tcPr/>
          <w:p>
            <w:pPr>
              <w:pStyle w:val="Compact"/>
              <w:jc w:val="right"/>
            </w:pPr>
            <w:r>
              <w:t xml:space="preserve">214.5</w:t>
            </w:r>
          </w:p>
        </w:tc>
        <w:tc>
          <w:tcPr/>
          <w:p>
            <w:pPr>
              <w:pStyle w:val="Compact"/>
              <w:jc w:val="right"/>
            </w:pPr>
            <w:r>
              <w:t xml:space="preserve">124.2</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129.1</w:t>
            </w:r>
          </w:p>
        </w:tc>
        <w:tc>
          <w:tcPr/>
          <w:p>
            <w:pPr>
              <w:pStyle w:val="Compact"/>
              <w:jc w:val="right"/>
            </w:pPr>
            <w:r>
              <w:t xml:space="preserve">NA</w:t>
            </w:r>
          </w:p>
        </w:tc>
        <w:tc>
          <w:tcPr/>
          <w:p>
            <w:pPr>
              <w:pStyle w:val="Compact"/>
              <w:jc w:val="right"/>
            </w:pPr>
            <w:r>
              <w:t xml:space="preserve">142.0</w:t>
            </w:r>
          </w:p>
        </w:tc>
        <w:tc>
          <w:tcPr/>
          <w:p>
            <w:pPr>
              <w:pStyle w:val="Compact"/>
              <w:jc w:val="right"/>
            </w:pPr>
            <w:r>
              <w:t xml:space="preserve">77.1</w:t>
            </w:r>
          </w:p>
        </w:tc>
        <w:tc>
          <w:tcPr/>
          <w:p>
            <w:pPr>
              <w:pStyle w:val="Compact"/>
              <w:jc w:val="right"/>
            </w:pPr>
            <w:r>
              <w:t xml:space="preserve">168.3</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122.0</w:t>
            </w:r>
          </w:p>
        </w:tc>
        <w:tc>
          <w:tcPr/>
          <w:p>
            <w:pPr>
              <w:pStyle w:val="Compact"/>
              <w:jc w:val="right"/>
            </w:pPr>
            <w:r>
              <w:t xml:space="preserve">143.3</w:t>
            </w:r>
          </w:p>
        </w:tc>
        <w:tc>
          <w:tcPr/>
          <w:p>
            <w:pPr>
              <w:pStyle w:val="Compact"/>
              <w:jc w:val="right"/>
            </w:pPr>
            <w:r>
              <w:t xml:space="preserve">135.5</w:t>
            </w:r>
          </w:p>
        </w:tc>
        <w:tc>
          <w:tcPr/>
          <w:p>
            <w:pPr>
              <w:pStyle w:val="Compact"/>
              <w:jc w:val="right"/>
            </w:pPr>
            <w:r>
              <w:t xml:space="preserve">93.4</w:t>
            </w:r>
          </w:p>
        </w:tc>
        <w:tc>
          <w:tcPr/>
          <w:p>
            <w:pPr>
              <w:pStyle w:val="Compact"/>
              <w:jc w:val="right"/>
            </w:pPr>
            <w:r>
              <w:t xml:space="preserve">115.8</w:t>
            </w:r>
          </w:p>
        </w:tc>
      </w:tr>
      <w:tr>
        <w:tc>
          <w:tcPr/>
          <w:p>
            <w:pPr>
              <w:pStyle w:val="Compact"/>
              <w:jc w:val="left"/>
            </w:pPr>
            <w:r>
              <w:t xml:space="preserve">42910</w:t>
            </w:r>
          </w:p>
        </w:tc>
        <w:tc>
          <w:tcPr/>
          <w:p>
            <w:pPr>
              <w:pStyle w:val="Compact"/>
              <w:jc w:val="left"/>
            </w:pPr>
            <w:r>
              <w:t xml:space="preserve">Pihlajavesi</w:t>
            </w:r>
          </w:p>
        </w:tc>
        <w:tc>
          <w:tcPr/>
          <w:p>
            <w:pPr>
              <w:pStyle w:val="Compact"/>
              <w:jc w:val="right"/>
            </w:pPr>
            <w:r>
              <w:t xml:space="preserve">115.9</w:t>
            </w:r>
          </w:p>
        </w:tc>
        <w:tc>
          <w:tcPr/>
          <w:p>
            <w:pPr>
              <w:pStyle w:val="Compact"/>
              <w:jc w:val="right"/>
            </w:pPr>
            <w:r>
              <w:t xml:space="preserve">116.7</w:t>
            </w:r>
          </w:p>
        </w:tc>
        <w:tc>
          <w:tcPr/>
          <w:p>
            <w:pPr>
              <w:pStyle w:val="Compact"/>
              <w:jc w:val="right"/>
            </w:pPr>
            <w:r>
              <w:t xml:space="preserve">136.2</w:t>
            </w:r>
          </w:p>
        </w:tc>
        <w:tc>
          <w:tcPr/>
          <w:p>
            <w:pPr>
              <w:pStyle w:val="Compact"/>
              <w:jc w:val="right"/>
            </w:pPr>
            <w:r>
              <w:t xml:space="preserve">99.5</w:t>
            </w:r>
          </w:p>
        </w:tc>
        <w:tc>
          <w:tcPr/>
          <w:p>
            <w:pPr>
              <w:pStyle w:val="Compact"/>
              <w:jc w:val="right"/>
            </w:pPr>
            <w:r>
              <w:t xml:space="preserve">111.1</w:t>
            </w:r>
          </w:p>
        </w:tc>
      </w:tr>
      <w:tr>
        <w:tc>
          <w:tcPr/>
          <w:p>
            <w:pPr>
              <w:pStyle w:val="Compact"/>
              <w:jc w:val="left"/>
            </w:pPr>
            <w:r>
              <w:t xml:space="preserve">42800</w:t>
            </w:r>
          </w:p>
        </w:tc>
        <w:tc>
          <w:tcPr/>
          <w:p>
            <w:pPr>
              <w:pStyle w:val="Compact"/>
              <w:jc w:val="left"/>
            </w:pPr>
            <w:r>
              <w:t xml:space="preserve">Haapamäki</w:t>
            </w:r>
          </w:p>
        </w:tc>
        <w:tc>
          <w:tcPr/>
          <w:p>
            <w:pPr>
              <w:pStyle w:val="Compact"/>
              <w:jc w:val="right"/>
            </w:pPr>
            <w:r>
              <w:t xml:space="preserve">111.1</w:t>
            </w:r>
          </w:p>
        </w:tc>
        <w:tc>
          <w:tcPr/>
          <w:p>
            <w:pPr>
              <w:pStyle w:val="Compact"/>
              <w:jc w:val="right"/>
            </w:pPr>
            <w:r>
              <w:t xml:space="preserve">129.2</w:t>
            </w:r>
          </w:p>
        </w:tc>
        <w:tc>
          <w:tcPr/>
          <w:p>
            <w:pPr>
              <w:pStyle w:val="Compact"/>
              <w:jc w:val="right"/>
            </w:pPr>
            <w:r>
              <w:t xml:space="preserve">116.3</w:t>
            </w:r>
          </w:p>
        </w:tc>
        <w:tc>
          <w:tcPr/>
          <w:p>
            <w:pPr>
              <w:pStyle w:val="Compact"/>
              <w:jc w:val="right"/>
            </w:pPr>
            <w:r>
              <w:t xml:space="preserve">95.8</w:t>
            </w:r>
          </w:p>
        </w:tc>
        <w:tc>
          <w:tcPr/>
          <w:p>
            <w:pPr>
              <w:pStyle w:val="Compact"/>
              <w:jc w:val="right"/>
            </w:pPr>
            <w:r>
              <w:t xml:space="preserve">103.2</w:t>
            </w:r>
          </w:p>
        </w:tc>
      </w:tr>
      <w:tr>
        <w:tc>
          <w:tcPr/>
          <w:p>
            <w:pPr>
              <w:pStyle w:val="Compact"/>
              <w:jc w:val="left"/>
            </w:pPr>
            <w:r>
              <w:t xml:space="preserve">42700</w:t>
            </w:r>
          </w:p>
        </w:tc>
        <w:tc>
          <w:tcPr/>
          <w:p>
            <w:pPr>
              <w:pStyle w:val="Compact"/>
              <w:jc w:val="left"/>
            </w:pPr>
            <w:r>
              <w:t xml:space="preserve">Keuruu Keskus</w:t>
            </w:r>
          </w:p>
        </w:tc>
        <w:tc>
          <w:tcPr/>
          <w:p>
            <w:pPr>
              <w:pStyle w:val="Compact"/>
              <w:jc w:val="right"/>
            </w:pPr>
            <w:r>
              <w:t xml:space="preserve">100.4</w:t>
            </w:r>
          </w:p>
        </w:tc>
        <w:tc>
          <w:tcPr/>
          <w:p>
            <w:pPr>
              <w:pStyle w:val="Compact"/>
              <w:jc w:val="right"/>
            </w:pPr>
            <w:r>
              <w:t xml:space="preserve">119.3</w:t>
            </w:r>
          </w:p>
        </w:tc>
        <w:tc>
          <w:tcPr/>
          <w:p>
            <w:pPr>
              <w:pStyle w:val="Compact"/>
              <w:jc w:val="right"/>
            </w:pPr>
            <w:r>
              <w:t xml:space="preserve">93.8</w:t>
            </w:r>
          </w:p>
        </w:tc>
        <w:tc>
          <w:tcPr/>
          <w:p>
            <w:pPr>
              <w:pStyle w:val="Compact"/>
              <w:jc w:val="right"/>
            </w:pPr>
            <w:r>
              <w:t xml:space="preserve">87.1</w:t>
            </w:r>
          </w:p>
        </w:tc>
        <w:tc>
          <w:tcPr/>
          <w:p>
            <w:pPr>
              <w:pStyle w:val="Compact"/>
              <w:jc w:val="right"/>
            </w:pPr>
            <w:r>
              <w:t xml:space="preserve">101.4</w:t>
            </w:r>
          </w:p>
        </w:tc>
      </w:tr>
      <w:tr>
        <w:tc>
          <w:tcPr/>
          <w:p>
            <w:pPr>
              <w:pStyle w:val="Compact"/>
              <w:jc w:val="left"/>
            </w:pPr>
            <w:r>
              <w:t xml:space="preserve">42820</w:t>
            </w:r>
          </w:p>
        </w:tc>
        <w:tc>
          <w:tcPr/>
          <w:p>
            <w:pPr>
              <w:pStyle w:val="Compact"/>
              <w:jc w:val="left"/>
            </w:pPr>
            <w:r>
              <w:t xml:space="preserve">Riiho</w:t>
            </w:r>
          </w:p>
        </w:tc>
        <w:tc>
          <w:tcPr/>
          <w:p>
            <w:pPr>
              <w:pStyle w:val="Compact"/>
              <w:jc w:val="right"/>
            </w:pPr>
            <w:r>
              <w:t xml:space="preserve">97.3</w:t>
            </w:r>
          </w:p>
        </w:tc>
        <w:tc>
          <w:tcPr/>
          <w:p>
            <w:pPr>
              <w:pStyle w:val="Compact"/>
              <w:jc w:val="right"/>
            </w:pPr>
            <w:r>
              <w:t xml:space="preserve">64.1</w:t>
            </w:r>
          </w:p>
        </w:tc>
        <w:tc>
          <w:tcPr/>
          <w:p>
            <w:pPr>
              <w:pStyle w:val="Compact"/>
              <w:jc w:val="right"/>
            </w:pPr>
            <w:r>
              <w:t xml:space="preserve">94.5</w:t>
            </w:r>
          </w:p>
        </w:tc>
        <w:tc>
          <w:tcPr/>
          <w:p>
            <w:pPr>
              <w:pStyle w:val="Compact"/>
              <w:jc w:val="right"/>
            </w:pPr>
            <w:r>
              <w:t xml:space="preserve">167.0</w:t>
            </w:r>
          </w:p>
        </w:tc>
        <w:tc>
          <w:tcPr/>
          <w:p>
            <w:pPr>
              <w:pStyle w:val="Compact"/>
              <w:jc w:val="right"/>
            </w:pPr>
            <w:r>
              <w:t xml:space="preserve">63.5</w:t>
            </w:r>
          </w:p>
        </w:tc>
      </w:tr>
      <w:tr>
        <w:tc>
          <w:tcPr/>
          <w:p>
            <w:pPr>
              <w:pStyle w:val="Compact"/>
              <w:jc w:val="left"/>
            </w:pPr>
            <w:r>
              <w:t xml:space="preserve">42930</w:t>
            </w:r>
          </w:p>
        </w:tc>
        <w:tc>
          <w:tcPr/>
          <w:p>
            <w:pPr>
              <w:pStyle w:val="Compact"/>
              <w:jc w:val="left"/>
            </w:pPr>
            <w:r>
              <w:t xml:space="preserve">Katajamäki</w:t>
            </w:r>
          </w:p>
        </w:tc>
        <w:tc>
          <w:tcPr/>
          <w:p>
            <w:pPr>
              <w:pStyle w:val="Compact"/>
              <w:jc w:val="right"/>
            </w:pPr>
            <w:r>
              <w:t xml:space="preserve">97.0</w:t>
            </w:r>
          </w:p>
        </w:tc>
        <w:tc>
          <w:tcPr/>
          <w:p>
            <w:pPr>
              <w:pStyle w:val="Compact"/>
              <w:jc w:val="right"/>
            </w:pPr>
            <w:r>
              <w:t xml:space="preserve">107.9</w:t>
            </w:r>
          </w:p>
        </w:tc>
        <w:tc>
          <w:tcPr/>
          <w:p>
            <w:pPr>
              <w:pStyle w:val="Compact"/>
              <w:jc w:val="right"/>
            </w:pPr>
            <w:r>
              <w:t xml:space="preserve">110.8</w:t>
            </w:r>
          </w:p>
        </w:tc>
        <w:tc>
          <w:tcPr/>
          <w:p>
            <w:pPr>
              <w:pStyle w:val="Compact"/>
              <w:jc w:val="right"/>
            </w:pPr>
            <w:r>
              <w:t xml:space="preserve">82.2</w:t>
            </w:r>
          </w:p>
        </w:tc>
        <w:tc>
          <w:tcPr/>
          <w:p>
            <w:pPr>
              <w:pStyle w:val="Compact"/>
              <w:jc w:val="right"/>
            </w:pPr>
            <w:r>
              <w:t xml:space="preserve">87.2</w:t>
            </w:r>
          </w:p>
        </w:tc>
      </w:tr>
      <w:tr>
        <w:tc>
          <w:tcPr/>
          <w:p>
            <w:pPr>
              <w:pStyle w:val="Compact"/>
              <w:jc w:val="left"/>
            </w:pPr>
            <w:r>
              <w:t xml:space="preserve">42520</w:t>
            </w:r>
          </w:p>
        </w:tc>
        <w:tc>
          <w:tcPr/>
          <w:p>
            <w:pPr>
              <w:pStyle w:val="Compact"/>
              <w:jc w:val="left"/>
            </w:pPr>
            <w:r>
              <w:t xml:space="preserve">Asunta</w:t>
            </w:r>
          </w:p>
        </w:tc>
        <w:tc>
          <w:tcPr/>
          <w:p>
            <w:pPr>
              <w:pStyle w:val="Compact"/>
              <w:jc w:val="right"/>
            </w:pPr>
            <w:r>
              <w:t xml:space="preserve">86.7</w:t>
            </w:r>
          </w:p>
        </w:tc>
        <w:tc>
          <w:tcPr/>
          <w:p>
            <w:pPr>
              <w:pStyle w:val="Compact"/>
              <w:jc w:val="right"/>
            </w:pPr>
            <w:r>
              <w:t xml:space="preserve">98.2</w:t>
            </w:r>
          </w:p>
        </w:tc>
        <w:tc>
          <w:tcPr/>
          <w:p>
            <w:pPr>
              <w:pStyle w:val="Compact"/>
              <w:jc w:val="right"/>
            </w:pPr>
            <w:r>
              <w:t xml:space="preserve">100.8</w:t>
            </w:r>
          </w:p>
        </w:tc>
        <w:tc>
          <w:tcPr/>
          <w:p>
            <w:pPr>
              <w:pStyle w:val="Compact"/>
              <w:jc w:val="right"/>
            </w:pPr>
            <w:r>
              <w:t xml:space="preserve">53.1</w:t>
            </w:r>
          </w:p>
        </w:tc>
        <w:tc>
          <w:tcPr/>
          <w:p>
            <w:pPr>
              <w:pStyle w:val="Compact"/>
              <w:jc w:val="right"/>
            </w:pPr>
            <w:r>
              <w:t xml:space="preserve">94.8</w:t>
            </w:r>
          </w:p>
        </w:tc>
      </w:tr>
      <w:tr>
        <w:tc>
          <w:tcPr/>
          <w:p>
            <w:pPr>
              <w:pStyle w:val="Compact"/>
              <w:jc w:val="left"/>
            </w:pPr>
            <w:r>
              <w:t xml:space="preserve">42560</w:t>
            </w:r>
          </w:p>
        </w:tc>
        <w:tc>
          <w:tcPr/>
          <w:p>
            <w:pPr>
              <w:pStyle w:val="Compact"/>
              <w:jc w:val="left"/>
            </w:pPr>
            <w:r>
              <w:t xml:space="preserve">Pohjoisjärvi</w:t>
            </w:r>
          </w:p>
        </w:tc>
        <w:tc>
          <w:tcPr/>
          <w:p>
            <w:pPr>
              <w:pStyle w:val="Compact"/>
              <w:jc w:val="right"/>
            </w:pPr>
            <w:r>
              <w:t xml:space="preserve">61.9</w:t>
            </w:r>
          </w:p>
        </w:tc>
        <w:tc>
          <w:tcPr/>
          <w:p>
            <w:pPr>
              <w:pStyle w:val="Compact"/>
              <w:jc w:val="right"/>
            </w:pPr>
            <w:r>
              <w:t xml:space="preserve">62.7</w:t>
            </w:r>
          </w:p>
        </w:tc>
        <w:tc>
          <w:tcPr/>
          <w:p>
            <w:pPr>
              <w:pStyle w:val="Compact"/>
              <w:jc w:val="right"/>
            </w:pPr>
            <w:r>
              <w:t xml:space="preserve">58.6</w:t>
            </w:r>
          </w:p>
        </w:tc>
        <w:tc>
          <w:tcPr/>
          <w:p>
            <w:pPr>
              <w:pStyle w:val="Compact"/>
              <w:jc w:val="right"/>
            </w:pPr>
            <w:r>
              <w:t xml:space="preserve">43.7</w:t>
            </w:r>
          </w:p>
        </w:tc>
        <w:tc>
          <w:tcPr/>
          <w:p>
            <w:pPr>
              <w:pStyle w:val="Compact"/>
              <w:jc w:val="right"/>
            </w:pPr>
            <w:r>
              <w:t xml:space="preserve">82.6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euru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euru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euru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euru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Keuruu (Seutukunnat)</dc:title>
  <dc:creator>Diakin karttasovellus 2023-02-27 20:09:56</dc:creator>
  <cp:keywords/>
  <dcterms:created xsi:type="dcterms:W3CDTF">2023-02-27T18:11:10Z</dcterms:created>
  <dcterms:modified xsi:type="dcterms:W3CDTF">2023-02-27T18:11:10Z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