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Kokkola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20:13:38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20:13:38.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Kokkola. Lisäksi tarkastelussa ovat rajanaapurit: Jakobstadsregionen, Kaustinen, Kokkola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okkol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okkol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98.4</w:t>
            </w:r>
          </w:p>
        </w:tc>
        <w:tc>
          <w:tcPr/>
          <w:p>
            <w:pPr>
              <w:pStyle w:val="Compact"/>
              <w:jc w:val="right"/>
            </w:pPr>
            <w:r>
              <w:t xml:space="preserve">43</w:t>
            </w:r>
          </w:p>
        </w:tc>
      </w:tr>
      <w:tr>
        <w:tc>
          <w:tcPr/>
          <w:p>
            <w:pPr>
              <w:pStyle w:val="Compact"/>
              <w:jc w:val="left"/>
            </w:pPr>
            <w:r>
              <w:t xml:space="preserve">Ylivieska (naapuri)</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Kokkola (valittu)</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Ylivieska (naapuri)</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110.3</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okkol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okkol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Jakobstadsregionen (naapuri)</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Ylivieska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Kokkola (valittu)</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Kokkola (valittu)</w:t>
            </w:r>
          </w:p>
        </w:tc>
        <w:tc>
          <w:tcPr/>
          <w:p>
            <w:pPr>
              <w:pStyle w:val="Compact"/>
              <w:jc w:val="right"/>
            </w:pPr>
            <w:r>
              <w:t xml:space="preserve">91.9</w:t>
            </w:r>
          </w:p>
        </w:tc>
        <w:tc>
          <w:tcPr/>
          <w:p>
            <w:pPr>
              <w:pStyle w:val="Compact"/>
              <w:jc w:val="right"/>
            </w:pPr>
            <w:r>
              <w:t xml:space="preserve">43</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Kokkola (valittu)</w:t>
            </w:r>
          </w:p>
        </w:tc>
        <w:tc>
          <w:tcPr/>
          <w:p>
            <w:pPr>
              <w:pStyle w:val="Compact"/>
              <w:jc w:val="right"/>
            </w:pPr>
            <w:r>
              <w:t xml:space="preserve">73.5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68.1</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84.7</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Kokkola (valittu)</w:t>
            </w:r>
          </w:p>
        </w:tc>
        <w:tc>
          <w:tcPr/>
          <w:p>
            <w:pPr>
              <w:pStyle w:val="Compact"/>
              <w:jc w:val="right"/>
            </w:pPr>
            <w:r>
              <w:t xml:space="preserve">80.2</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okkol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okkol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Kokkola (valittu)</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126.3</w:t>
            </w:r>
          </w:p>
        </w:tc>
        <w:tc>
          <w:tcPr/>
          <w:p>
            <w:pPr>
              <w:pStyle w:val="Compact"/>
              <w:jc w:val="right"/>
            </w:pPr>
            <w:r>
              <w:t xml:space="preserve">9</w:t>
            </w:r>
          </w:p>
        </w:tc>
      </w:tr>
      <w:tr>
        <w:tc>
          <w:tcPr/>
          <w:p>
            <w:pPr>
              <w:pStyle w:val="Compact"/>
              <w:jc w:val="left"/>
            </w:pPr>
            <w:r>
              <w:t xml:space="preserve">Ylivieska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Jakobstadsregionen (naapuri)</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131.7</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102.3</w:t>
            </w:r>
          </w:p>
        </w:tc>
        <w:tc>
          <w:tcPr/>
          <w:p>
            <w:pPr>
              <w:pStyle w:val="Compact"/>
              <w:jc w:val="right"/>
            </w:pPr>
            <w:r>
              <w:t xml:space="preserve">29</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Jakobstadsregionen (naapuri)</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okkol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okkol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91.9</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Kokkola (valittu)</w:t>
            </w:r>
          </w:p>
        </w:tc>
        <w:tc>
          <w:tcPr/>
          <w:p>
            <w:pPr>
              <w:pStyle w:val="Compact"/>
              <w:jc w:val="right"/>
            </w:pPr>
            <w:r>
              <w:t xml:space="preserve">90.5</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Kokkola (valittu)</w:t>
            </w:r>
          </w:p>
        </w:tc>
        <w:tc>
          <w:tcPr/>
          <w:p>
            <w:pPr>
              <w:pStyle w:val="Compact"/>
              <w:jc w:val="right"/>
            </w:pPr>
            <w:r>
              <w:t xml:space="preserve">114.0</w:t>
            </w:r>
          </w:p>
        </w:tc>
        <w:tc>
          <w:tcPr/>
          <w:p>
            <w:pPr>
              <w:pStyle w:val="Compact"/>
              <w:jc w:val="right"/>
            </w:pPr>
            <w:r>
              <w:t xml:space="preserve">22</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Kokkola (valittu)</w:t>
            </w:r>
          </w:p>
        </w:tc>
        <w:tc>
          <w:tcPr/>
          <w:p>
            <w:pPr>
              <w:pStyle w:val="Compact"/>
              <w:jc w:val="right"/>
            </w:pPr>
            <w:r>
              <w:t xml:space="preserve">176.4</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Jakobstadsregionen (naapuri)</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Jakobstadsregionen (naapuri)</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Kokkola (valittu)</w:t>
            </w:r>
          </w:p>
        </w:tc>
        <w:tc>
          <w:tcPr/>
          <w:p>
            <w:pPr>
              <w:pStyle w:val="Compact"/>
              <w:jc w:val="right"/>
            </w:pPr>
            <w:r>
              <w:t xml:space="preserve">78.6</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okkol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67800</w:t>
            </w:r>
          </w:p>
        </w:tc>
        <w:tc>
          <w:tcPr/>
          <w:p>
            <w:pPr>
              <w:pStyle w:val="Compact"/>
              <w:jc w:val="left"/>
            </w:pPr>
            <w:r>
              <w:t xml:space="preserve">Koivuhaka</w:t>
            </w:r>
          </w:p>
        </w:tc>
        <w:tc>
          <w:tcPr/>
          <w:p>
            <w:pPr>
              <w:pStyle w:val="Compact"/>
              <w:jc w:val="right"/>
            </w:pPr>
            <w:r>
              <w:t xml:space="preserve">123.3</w:t>
            </w:r>
          </w:p>
        </w:tc>
        <w:tc>
          <w:tcPr/>
          <w:p>
            <w:pPr>
              <w:pStyle w:val="Compact"/>
              <w:jc w:val="right"/>
            </w:pPr>
            <w:r>
              <w:t xml:space="preserve">142.2</w:t>
            </w:r>
          </w:p>
        </w:tc>
        <w:tc>
          <w:tcPr/>
          <w:p>
            <w:pPr>
              <w:pStyle w:val="Compact"/>
              <w:jc w:val="right"/>
            </w:pPr>
            <w:r>
              <w:t xml:space="preserve">105.2</w:t>
            </w:r>
          </w:p>
        </w:tc>
        <w:tc>
          <w:tcPr/>
          <w:p>
            <w:pPr>
              <w:pStyle w:val="Compact"/>
              <w:jc w:val="right"/>
            </w:pPr>
            <w:r>
              <w:t xml:space="preserve">138.0</w:t>
            </w:r>
          </w:p>
        </w:tc>
        <w:tc>
          <w:tcPr/>
          <w:p>
            <w:pPr>
              <w:pStyle w:val="Compact"/>
              <w:jc w:val="right"/>
            </w:pPr>
            <w:r>
              <w:t xml:space="preserve">108.0</w:t>
            </w:r>
          </w:p>
        </w:tc>
      </w:tr>
      <w:tr>
        <w:tc>
          <w:tcPr/>
          <w:p>
            <w:pPr>
              <w:pStyle w:val="Compact"/>
              <w:jc w:val="left"/>
            </w:pPr>
            <w:r>
              <w:t xml:space="preserve">69150</w:t>
            </w:r>
          </w:p>
        </w:tc>
        <w:tc>
          <w:tcPr/>
          <w:p>
            <w:pPr>
              <w:pStyle w:val="Compact"/>
              <w:jc w:val="left"/>
            </w:pPr>
            <w:r>
              <w:t xml:space="preserve">Eskola</w:t>
            </w:r>
          </w:p>
        </w:tc>
        <w:tc>
          <w:tcPr/>
          <w:p>
            <w:pPr>
              <w:pStyle w:val="Compact"/>
              <w:jc w:val="right"/>
            </w:pPr>
            <w:r>
              <w:t xml:space="preserve">119.4</w:t>
            </w:r>
          </w:p>
        </w:tc>
        <w:tc>
          <w:tcPr/>
          <w:p>
            <w:pPr>
              <w:pStyle w:val="Compact"/>
              <w:jc w:val="right"/>
            </w:pPr>
            <w:r>
              <w:t xml:space="preserve">114.0</w:t>
            </w:r>
          </w:p>
        </w:tc>
        <w:tc>
          <w:tcPr/>
          <w:p>
            <w:pPr>
              <w:pStyle w:val="Compact"/>
              <w:jc w:val="right"/>
            </w:pPr>
            <w:r>
              <w:t xml:space="preserve">121.7</w:t>
            </w:r>
          </w:p>
        </w:tc>
        <w:tc>
          <w:tcPr/>
          <w:p>
            <w:pPr>
              <w:pStyle w:val="Compact"/>
              <w:jc w:val="right"/>
            </w:pPr>
            <w:r>
              <w:t xml:space="preserve">120.1</w:t>
            </w:r>
          </w:p>
        </w:tc>
        <w:tc>
          <w:tcPr/>
          <w:p>
            <w:pPr>
              <w:pStyle w:val="Compact"/>
              <w:jc w:val="right"/>
            </w:pPr>
            <w:r>
              <w:t xml:space="preserve">121.6</w:t>
            </w:r>
          </w:p>
        </w:tc>
      </w:tr>
      <w:tr>
        <w:tc>
          <w:tcPr/>
          <w:p>
            <w:pPr>
              <w:pStyle w:val="Compact"/>
              <w:jc w:val="left"/>
            </w:pPr>
            <w:r>
              <w:t xml:space="preserve">68370</w:t>
            </w:r>
          </w:p>
        </w:tc>
        <w:tc>
          <w:tcPr/>
          <w:p>
            <w:pPr>
              <w:pStyle w:val="Compact"/>
              <w:jc w:val="left"/>
            </w:pPr>
            <w:r>
              <w:t xml:space="preserve">Ullava Keskus</w:t>
            </w:r>
          </w:p>
        </w:tc>
        <w:tc>
          <w:tcPr/>
          <w:p>
            <w:pPr>
              <w:pStyle w:val="Compact"/>
              <w:jc w:val="right"/>
            </w:pPr>
            <w:r>
              <w:t xml:space="preserve">116.9</w:t>
            </w:r>
          </w:p>
        </w:tc>
        <w:tc>
          <w:tcPr/>
          <w:p>
            <w:pPr>
              <w:pStyle w:val="Compact"/>
              <w:jc w:val="right"/>
            </w:pPr>
            <w:r>
              <w:t xml:space="preserve">127.6</w:t>
            </w:r>
          </w:p>
        </w:tc>
        <w:tc>
          <w:tcPr/>
          <w:p>
            <w:pPr>
              <w:pStyle w:val="Compact"/>
              <w:jc w:val="right"/>
            </w:pPr>
            <w:r>
              <w:t xml:space="preserve">121.7</w:t>
            </w:r>
          </w:p>
        </w:tc>
        <w:tc>
          <w:tcPr/>
          <w:p>
            <w:pPr>
              <w:pStyle w:val="Compact"/>
              <w:jc w:val="right"/>
            </w:pPr>
            <w:r>
              <w:t xml:space="preserve">83.3</w:t>
            </w:r>
          </w:p>
        </w:tc>
        <w:tc>
          <w:tcPr/>
          <w:p>
            <w:pPr>
              <w:pStyle w:val="Compact"/>
              <w:jc w:val="right"/>
            </w:pPr>
            <w:r>
              <w:t xml:space="preserve">134.9</w:t>
            </w:r>
          </w:p>
        </w:tc>
      </w:tr>
      <w:tr>
        <w:tc>
          <w:tcPr/>
          <w:p>
            <w:pPr>
              <w:pStyle w:val="Compact"/>
              <w:jc w:val="left"/>
            </w:pPr>
            <w:r>
              <w:t xml:space="preserve">68380</w:t>
            </w:r>
          </w:p>
        </w:tc>
        <w:tc>
          <w:tcPr/>
          <w:p>
            <w:pPr>
              <w:pStyle w:val="Compact"/>
              <w:jc w:val="left"/>
            </w:pPr>
            <w:r>
              <w:t xml:space="preserve">Yli-Ullava</w:t>
            </w:r>
          </w:p>
        </w:tc>
        <w:tc>
          <w:tcPr/>
          <w:p>
            <w:pPr>
              <w:pStyle w:val="Compact"/>
              <w:jc w:val="right"/>
            </w:pPr>
            <w:r>
              <w:t xml:space="preserve">112.2</w:t>
            </w:r>
          </w:p>
        </w:tc>
        <w:tc>
          <w:tcPr/>
          <w:p>
            <w:pPr>
              <w:pStyle w:val="Compact"/>
              <w:jc w:val="right"/>
            </w:pPr>
            <w:r>
              <w:t xml:space="preserve">102.4</w:t>
            </w:r>
          </w:p>
        </w:tc>
        <w:tc>
          <w:tcPr/>
          <w:p>
            <w:pPr>
              <w:pStyle w:val="Compact"/>
              <w:jc w:val="right"/>
            </w:pPr>
            <w:r>
              <w:t xml:space="preserve">123.0</w:t>
            </w:r>
          </w:p>
        </w:tc>
        <w:tc>
          <w:tcPr/>
          <w:p>
            <w:pPr>
              <w:pStyle w:val="Compact"/>
              <w:jc w:val="right"/>
            </w:pPr>
            <w:r>
              <w:t xml:space="preserve">70.8</w:t>
            </w:r>
          </w:p>
        </w:tc>
        <w:tc>
          <w:tcPr/>
          <w:p>
            <w:pPr>
              <w:pStyle w:val="Compact"/>
              <w:jc w:val="right"/>
            </w:pPr>
            <w:r>
              <w:t xml:space="preserve">152.5</w:t>
            </w:r>
          </w:p>
        </w:tc>
      </w:tr>
      <w:tr>
        <w:tc>
          <w:tcPr/>
          <w:p>
            <w:pPr>
              <w:pStyle w:val="Compact"/>
              <w:jc w:val="left"/>
            </w:pPr>
            <w:r>
              <w:t xml:space="preserve">67100</w:t>
            </w:r>
          </w:p>
        </w:tc>
        <w:tc>
          <w:tcPr/>
          <w:p>
            <w:pPr>
              <w:pStyle w:val="Compact"/>
              <w:jc w:val="left"/>
            </w:pPr>
            <w:r>
              <w:t xml:space="preserve">Kokkola Keskus</w:t>
            </w:r>
          </w:p>
        </w:tc>
        <w:tc>
          <w:tcPr/>
          <w:p>
            <w:pPr>
              <w:pStyle w:val="Compact"/>
              <w:jc w:val="right"/>
            </w:pPr>
            <w:r>
              <w:t xml:space="preserve">110.0</w:t>
            </w:r>
          </w:p>
        </w:tc>
        <w:tc>
          <w:tcPr/>
          <w:p>
            <w:pPr>
              <w:pStyle w:val="Compact"/>
              <w:jc w:val="right"/>
            </w:pPr>
            <w:r>
              <w:t xml:space="preserve">132.7</w:t>
            </w:r>
          </w:p>
        </w:tc>
        <w:tc>
          <w:tcPr/>
          <w:p>
            <w:pPr>
              <w:pStyle w:val="Compact"/>
              <w:jc w:val="right"/>
            </w:pPr>
            <w:r>
              <w:t xml:space="preserve">102.1</w:t>
            </w:r>
          </w:p>
        </w:tc>
        <w:tc>
          <w:tcPr/>
          <w:p>
            <w:pPr>
              <w:pStyle w:val="Compact"/>
              <w:jc w:val="right"/>
            </w:pPr>
            <w:r>
              <w:t xml:space="preserve">109.4</w:t>
            </w:r>
          </w:p>
        </w:tc>
        <w:tc>
          <w:tcPr/>
          <w:p>
            <w:pPr>
              <w:pStyle w:val="Compact"/>
              <w:jc w:val="right"/>
            </w:pPr>
            <w:r>
              <w:t xml:space="preserve">95.9</w:t>
            </w:r>
          </w:p>
        </w:tc>
      </w:tr>
      <w:tr>
        <w:tc>
          <w:tcPr/>
          <w:p>
            <w:pPr>
              <w:pStyle w:val="Compact"/>
              <w:jc w:val="left"/>
            </w:pPr>
            <w:r>
              <w:t xml:space="preserve">68240</w:t>
            </w:r>
          </w:p>
        </w:tc>
        <w:tc>
          <w:tcPr/>
          <w:p>
            <w:pPr>
              <w:pStyle w:val="Compact"/>
              <w:jc w:val="left"/>
            </w:pPr>
            <w:r>
              <w:t xml:space="preserve">Ala-Viirre</w:t>
            </w:r>
          </w:p>
        </w:tc>
        <w:tc>
          <w:tcPr/>
          <w:p>
            <w:pPr>
              <w:pStyle w:val="Compact"/>
              <w:jc w:val="right"/>
            </w:pPr>
            <w:r>
              <w:t xml:space="preserve">105.0</w:t>
            </w:r>
          </w:p>
        </w:tc>
        <w:tc>
          <w:tcPr/>
          <w:p>
            <w:pPr>
              <w:pStyle w:val="Compact"/>
              <w:jc w:val="right"/>
            </w:pPr>
            <w:r>
              <w:t xml:space="preserve">100.9</w:t>
            </w:r>
          </w:p>
        </w:tc>
        <w:tc>
          <w:tcPr/>
          <w:p>
            <w:pPr>
              <w:pStyle w:val="Compact"/>
              <w:jc w:val="right"/>
            </w:pPr>
            <w:r>
              <w:t xml:space="preserve">131.9</w:t>
            </w:r>
          </w:p>
        </w:tc>
        <w:tc>
          <w:tcPr/>
          <w:p>
            <w:pPr>
              <w:pStyle w:val="Compact"/>
              <w:jc w:val="right"/>
            </w:pPr>
            <w:r>
              <w:t xml:space="preserve">68.3</w:t>
            </w:r>
          </w:p>
        </w:tc>
        <w:tc>
          <w:tcPr/>
          <w:p>
            <w:pPr>
              <w:pStyle w:val="Compact"/>
              <w:jc w:val="right"/>
            </w:pPr>
            <w:r>
              <w:t xml:space="preserve">119.1</w:t>
            </w:r>
          </w:p>
        </w:tc>
      </w:tr>
      <w:tr>
        <w:tc>
          <w:tcPr/>
          <w:p>
            <w:pPr>
              <w:pStyle w:val="Compact"/>
              <w:jc w:val="left"/>
            </w:pPr>
            <w:r>
              <w:t xml:space="preserve">68999</w:t>
            </w:r>
          </w:p>
        </w:tc>
        <w:tc>
          <w:tcPr/>
          <w:p>
            <w:pPr>
              <w:pStyle w:val="Compact"/>
              <w:jc w:val="left"/>
            </w:pPr>
            <w:r>
              <w:t xml:space="preserve">Rita</w:t>
            </w:r>
          </w:p>
        </w:tc>
        <w:tc>
          <w:tcPr/>
          <w:p>
            <w:pPr>
              <w:pStyle w:val="Compact"/>
              <w:jc w:val="right"/>
            </w:pPr>
            <w:r>
              <w:t xml:space="preserve">101.9</w:t>
            </w:r>
          </w:p>
        </w:tc>
        <w:tc>
          <w:tcPr/>
          <w:p>
            <w:pPr>
              <w:pStyle w:val="Compact"/>
              <w:jc w:val="right"/>
            </w:pPr>
            <w:r>
              <w:t xml:space="preserve">102.8</w:t>
            </w:r>
          </w:p>
        </w:tc>
        <w:tc>
          <w:tcPr/>
          <w:p>
            <w:pPr>
              <w:pStyle w:val="Compact"/>
              <w:jc w:val="right"/>
            </w:pPr>
            <w:r>
              <w:t xml:space="preserve">142.2</w:t>
            </w:r>
          </w:p>
        </w:tc>
        <w:tc>
          <w:tcPr/>
          <w:p>
            <w:pPr>
              <w:pStyle w:val="Compact"/>
              <w:jc w:val="right"/>
            </w:pPr>
            <w:r>
              <w:t xml:space="preserve">13.4</w:t>
            </w:r>
          </w:p>
        </w:tc>
        <w:tc>
          <w:tcPr/>
          <w:p>
            <w:pPr>
              <w:pStyle w:val="Compact"/>
              <w:jc w:val="right"/>
            </w:pPr>
            <w:r>
              <w:t xml:space="preserve">149.2</w:t>
            </w:r>
          </w:p>
        </w:tc>
      </w:tr>
      <w:tr>
        <w:tc>
          <w:tcPr/>
          <w:p>
            <w:pPr>
              <w:pStyle w:val="Compact"/>
              <w:jc w:val="left"/>
            </w:pPr>
            <w:r>
              <w:t xml:space="preserve">69170</w:t>
            </w:r>
          </w:p>
        </w:tc>
        <w:tc>
          <w:tcPr/>
          <w:p>
            <w:pPr>
              <w:pStyle w:val="Compact"/>
              <w:jc w:val="left"/>
            </w:pPr>
            <w:r>
              <w:t xml:space="preserve">Yli-Kannus</w:t>
            </w:r>
          </w:p>
        </w:tc>
        <w:tc>
          <w:tcPr/>
          <w:p>
            <w:pPr>
              <w:pStyle w:val="Compact"/>
              <w:jc w:val="right"/>
            </w:pPr>
            <w:r>
              <w:t xml:space="preserve">96.4</w:t>
            </w:r>
          </w:p>
        </w:tc>
        <w:tc>
          <w:tcPr/>
          <w:p>
            <w:pPr>
              <w:pStyle w:val="Compact"/>
              <w:jc w:val="right"/>
            </w:pPr>
            <w:r>
              <w:t xml:space="preserve">91.0</w:t>
            </w:r>
          </w:p>
        </w:tc>
        <w:tc>
          <w:tcPr/>
          <w:p>
            <w:pPr>
              <w:pStyle w:val="Compact"/>
              <w:jc w:val="right"/>
            </w:pPr>
            <w:r>
              <w:t xml:space="preserve">128.5</w:t>
            </w:r>
          </w:p>
        </w:tc>
        <w:tc>
          <w:tcPr/>
          <w:p>
            <w:pPr>
              <w:pStyle w:val="Compact"/>
              <w:jc w:val="right"/>
            </w:pPr>
            <w:r>
              <w:t xml:space="preserve">64.6</w:t>
            </w:r>
          </w:p>
        </w:tc>
        <w:tc>
          <w:tcPr/>
          <w:p>
            <w:pPr>
              <w:pStyle w:val="Compact"/>
              <w:jc w:val="right"/>
            </w:pPr>
            <w:r>
              <w:t xml:space="preserve">101.3</w:t>
            </w:r>
          </w:p>
        </w:tc>
      </w:tr>
      <w:tr>
        <w:tc>
          <w:tcPr/>
          <w:p>
            <w:pPr>
              <w:pStyle w:val="Compact"/>
              <w:jc w:val="left"/>
            </w:pPr>
            <w:r>
              <w:t xml:space="preserve">67200</w:t>
            </w:r>
          </w:p>
        </w:tc>
        <w:tc>
          <w:tcPr/>
          <w:p>
            <w:pPr>
              <w:pStyle w:val="Compact"/>
              <w:jc w:val="left"/>
            </w:pPr>
            <w:r>
              <w:t xml:space="preserve">Kiviniitty-Tullimäki</w:t>
            </w:r>
          </w:p>
        </w:tc>
        <w:tc>
          <w:tcPr/>
          <w:p>
            <w:pPr>
              <w:pStyle w:val="Compact"/>
              <w:jc w:val="right"/>
            </w:pPr>
            <w:r>
              <w:t xml:space="preserve">96.2</w:t>
            </w:r>
          </w:p>
        </w:tc>
        <w:tc>
          <w:tcPr/>
          <w:p>
            <w:pPr>
              <w:pStyle w:val="Compact"/>
              <w:jc w:val="right"/>
            </w:pPr>
            <w:r>
              <w:t xml:space="preserve">112.1</w:t>
            </w:r>
          </w:p>
        </w:tc>
        <w:tc>
          <w:tcPr/>
          <w:p>
            <w:pPr>
              <w:pStyle w:val="Compact"/>
              <w:jc w:val="right"/>
            </w:pPr>
            <w:r>
              <w:t xml:space="preserve">89.9</w:t>
            </w:r>
          </w:p>
        </w:tc>
        <w:tc>
          <w:tcPr/>
          <w:p>
            <w:pPr>
              <w:pStyle w:val="Compact"/>
              <w:jc w:val="right"/>
            </w:pPr>
            <w:r>
              <w:t xml:space="preserve">98.5</w:t>
            </w:r>
          </w:p>
        </w:tc>
        <w:tc>
          <w:tcPr/>
          <w:p>
            <w:pPr>
              <w:pStyle w:val="Compact"/>
              <w:jc w:val="right"/>
            </w:pPr>
            <w:r>
              <w:t xml:space="preserve">84.2</w:t>
            </w:r>
          </w:p>
        </w:tc>
      </w:tr>
      <w:tr>
        <w:tc>
          <w:tcPr/>
          <w:p>
            <w:pPr>
              <w:pStyle w:val="Compact"/>
              <w:jc w:val="left"/>
            </w:pPr>
            <w:r>
              <w:t xml:space="preserve">68210</w:t>
            </w:r>
          </w:p>
        </w:tc>
        <w:tc>
          <w:tcPr/>
          <w:p>
            <w:pPr>
              <w:pStyle w:val="Compact"/>
              <w:jc w:val="left"/>
            </w:pPr>
            <w:r>
              <w:t xml:space="preserve">Marinkainen</w:t>
            </w:r>
          </w:p>
        </w:tc>
        <w:tc>
          <w:tcPr/>
          <w:p>
            <w:pPr>
              <w:pStyle w:val="Compact"/>
              <w:jc w:val="right"/>
            </w:pPr>
            <w:r>
              <w:t xml:space="preserve">94.5</w:t>
            </w:r>
          </w:p>
        </w:tc>
        <w:tc>
          <w:tcPr/>
          <w:p>
            <w:pPr>
              <w:pStyle w:val="Compact"/>
              <w:jc w:val="right"/>
            </w:pPr>
            <w:r>
              <w:t xml:space="preserve">102.1</w:t>
            </w:r>
          </w:p>
        </w:tc>
        <w:tc>
          <w:tcPr/>
          <w:p>
            <w:pPr>
              <w:pStyle w:val="Compact"/>
              <w:jc w:val="right"/>
            </w:pPr>
            <w:r>
              <w:t xml:space="preserve">100.2</w:t>
            </w:r>
          </w:p>
        </w:tc>
        <w:tc>
          <w:tcPr/>
          <w:p>
            <w:pPr>
              <w:pStyle w:val="Compact"/>
              <w:jc w:val="right"/>
            </w:pPr>
            <w:r>
              <w:t xml:space="preserve">70.8</w:t>
            </w:r>
          </w:p>
        </w:tc>
        <w:tc>
          <w:tcPr/>
          <w:p>
            <w:pPr>
              <w:pStyle w:val="Compact"/>
              <w:jc w:val="right"/>
            </w:pPr>
            <w:r>
              <w:t xml:space="preserve">104.8</w:t>
            </w:r>
          </w:p>
        </w:tc>
      </w:tr>
      <w:tr>
        <w:tc>
          <w:tcPr/>
          <w:p>
            <w:pPr>
              <w:pStyle w:val="Compact"/>
              <w:jc w:val="left"/>
            </w:pPr>
            <w:r>
              <w:t xml:space="preserve">68230</w:t>
            </w:r>
          </w:p>
        </w:tc>
        <w:tc>
          <w:tcPr/>
          <w:p>
            <w:pPr>
              <w:pStyle w:val="Compact"/>
              <w:jc w:val="left"/>
            </w:pPr>
            <w:r>
              <w:t xml:space="preserve">Lohtaja Keskus</w:t>
            </w:r>
          </w:p>
        </w:tc>
        <w:tc>
          <w:tcPr/>
          <w:p>
            <w:pPr>
              <w:pStyle w:val="Compact"/>
              <w:jc w:val="right"/>
            </w:pPr>
            <w:r>
              <w:t xml:space="preserve">93.9</w:t>
            </w:r>
          </w:p>
        </w:tc>
        <w:tc>
          <w:tcPr/>
          <w:p>
            <w:pPr>
              <w:pStyle w:val="Compact"/>
              <w:jc w:val="right"/>
            </w:pPr>
            <w:r>
              <w:t xml:space="preserve">97.3</w:t>
            </w:r>
          </w:p>
        </w:tc>
        <w:tc>
          <w:tcPr/>
          <w:p>
            <w:pPr>
              <w:pStyle w:val="Compact"/>
              <w:jc w:val="right"/>
            </w:pPr>
            <w:r>
              <w:t xml:space="preserve">96.0</w:t>
            </w:r>
          </w:p>
        </w:tc>
        <w:tc>
          <w:tcPr/>
          <w:p>
            <w:pPr>
              <w:pStyle w:val="Compact"/>
              <w:jc w:val="right"/>
            </w:pPr>
            <w:r>
              <w:t xml:space="preserve">81.0</w:t>
            </w:r>
          </w:p>
        </w:tc>
        <w:tc>
          <w:tcPr/>
          <w:p>
            <w:pPr>
              <w:pStyle w:val="Compact"/>
              <w:jc w:val="right"/>
            </w:pPr>
            <w:r>
              <w:t xml:space="preserve">101.4</w:t>
            </w:r>
          </w:p>
        </w:tc>
      </w:tr>
      <w:tr>
        <w:tc>
          <w:tcPr/>
          <w:p>
            <w:pPr>
              <w:pStyle w:val="Compact"/>
              <w:jc w:val="left"/>
            </w:pPr>
            <w:r>
              <w:t xml:space="preserve">69100</w:t>
            </w:r>
          </w:p>
        </w:tc>
        <w:tc>
          <w:tcPr/>
          <w:p>
            <w:pPr>
              <w:pStyle w:val="Compact"/>
              <w:jc w:val="left"/>
            </w:pPr>
            <w:r>
              <w:t xml:space="preserve">Kannus Keskus</w:t>
            </w:r>
          </w:p>
        </w:tc>
        <w:tc>
          <w:tcPr/>
          <w:p>
            <w:pPr>
              <w:pStyle w:val="Compact"/>
              <w:jc w:val="right"/>
            </w:pPr>
            <w:r>
              <w:t xml:space="preserve">92.9</w:t>
            </w:r>
          </w:p>
        </w:tc>
        <w:tc>
          <w:tcPr/>
          <w:p>
            <w:pPr>
              <w:pStyle w:val="Compact"/>
              <w:jc w:val="right"/>
            </w:pPr>
            <w:r>
              <w:t xml:space="preserve">102.7</w:t>
            </w:r>
          </w:p>
        </w:tc>
        <w:tc>
          <w:tcPr/>
          <w:p>
            <w:pPr>
              <w:pStyle w:val="Compact"/>
              <w:jc w:val="right"/>
            </w:pPr>
            <w:r>
              <w:t xml:space="preserve">88.0</w:t>
            </w:r>
          </w:p>
        </w:tc>
        <w:tc>
          <w:tcPr/>
          <w:p>
            <w:pPr>
              <w:pStyle w:val="Compact"/>
              <w:jc w:val="right"/>
            </w:pPr>
            <w:r>
              <w:t xml:space="preserve">79.0</w:t>
            </w:r>
          </w:p>
        </w:tc>
        <w:tc>
          <w:tcPr/>
          <w:p>
            <w:pPr>
              <w:pStyle w:val="Compact"/>
              <w:jc w:val="right"/>
            </w:pPr>
            <w:r>
              <w:t xml:space="preserve">101.7</w:t>
            </w:r>
          </w:p>
        </w:tc>
      </w:tr>
      <w:tr>
        <w:tc>
          <w:tcPr/>
          <w:p>
            <w:pPr>
              <w:pStyle w:val="Compact"/>
              <w:jc w:val="left"/>
            </w:pPr>
            <w:r>
              <w:t xml:space="preserve">68390</w:t>
            </w:r>
          </w:p>
        </w:tc>
        <w:tc>
          <w:tcPr/>
          <w:p>
            <w:pPr>
              <w:pStyle w:val="Compact"/>
              <w:jc w:val="left"/>
            </w:pPr>
            <w:r>
              <w:t xml:space="preserve">Rahkonen</w:t>
            </w:r>
          </w:p>
        </w:tc>
        <w:tc>
          <w:tcPr/>
          <w:p>
            <w:pPr>
              <w:pStyle w:val="Compact"/>
              <w:jc w:val="right"/>
            </w:pPr>
            <w:r>
              <w:t xml:space="preserve">91.3</w:t>
            </w:r>
          </w:p>
        </w:tc>
        <w:tc>
          <w:tcPr/>
          <w:p>
            <w:pPr>
              <w:pStyle w:val="Compact"/>
              <w:jc w:val="right"/>
            </w:pPr>
            <w:r>
              <w:t xml:space="preserve">77.9</w:t>
            </w:r>
          </w:p>
        </w:tc>
        <w:tc>
          <w:tcPr/>
          <w:p>
            <w:pPr>
              <w:pStyle w:val="Compact"/>
              <w:jc w:val="right"/>
            </w:pPr>
            <w:r>
              <w:t xml:space="preserve">116.7</w:t>
            </w:r>
          </w:p>
        </w:tc>
        <w:tc>
          <w:tcPr/>
          <w:p>
            <w:pPr>
              <w:pStyle w:val="Compact"/>
              <w:jc w:val="right"/>
            </w:pPr>
            <w:r>
              <w:t xml:space="preserve">44.6</w:t>
            </w:r>
          </w:p>
        </w:tc>
        <w:tc>
          <w:tcPr/>
          <w:p>
            <w:pPr>
              <w:pStyle w:val="Compact"/>
              <w:jc w:val="right"/>
            </w:pPr>
            <w:r>
              <w:t xml:space="preserve">125.9</w:t>
            </w:r>
          </w:p>
        </w:tc>
      </w:tr>
      <w:tr>
        <w:tc>
          <w:tcPr/>
          <w:p>
            <w:pPr>
              <w:pStyle w:val="Compact"/>
              <w:jc w:val="left"/>
            </w:pPr>
            <w:r>
              <w:t xml:space="preserve">67900</w:t>
            </w:r>
          </w:p>
        </w:tc>
        <w:tc>
          <w:tcPr/>
          <w:p>
            <w:pPr>
              <w:pStyle w:val="Compact"/>
              <w:jc w:val="left"/>
            </w:pPr>
            <w:r>
              <w:t xml:space="preserve">Ykspihjala</w:t>
            </w:r>
          </w:p>
        </w:tc>
        <w:tc>
          <w:tcPr/>
          <w:p>
            <w:pPr>
              <w:pStyle w:val="Compact"/>
              <w:jc w:val="right"/>
            </w:pPr>
            <w:r>
              <w:t xml:space="preserve">88.1</w:t>
            </w:r>
          </w:p>
        </w:tc>
        <w:tc>
          <w:tcPr/>
          <w:p>
            <w:pPr>
              <w:pStyle w:val="Compact"/>
              <w:jc w:val="right"/>
            </w:pPr>
            <w:r>
              <w:t xml:space="preserve">79.3</w:t>
            </w:r>
          </w:p>
        </w:tc>
        <w:tc>
          <w:tcPr/>
          <w:p>
            <w:pPr>
              <w:pStyle w:val="Compact"/>
              <w:jc w:val="right"/>
            </w:pPr>
            <w:r>
              <w:t xml:space="preserve">88.0</w:t>
            </w:r>
          </w:p>
        </w:tc>
        <w:tc>
          <w:tcPr/>
          <w:p>
            <w:pPr>
              <w:pStyle w:val="Compact"/>
              <w:jc w:val="right"/>
            </w:pPr>
            <w:r>
              <w:t xml:space="preserve">82.1</w:t>
            </w:r>
          </w:p>
        </w:tc>
        <w:tc>
          <w:tcPr/>
          <w:p>
            <w:pPr>
              <w:pStyle w:val="Compact"/>
              <w:jc w:val="right"/>
            </w:pPr>
            <w:r>
              <w:t xml:space="preserve">102.9</w:t>
            </w:r>
          </w:p>
        </w:tc>
      </w:tr>
      <w:tr>
        <w:tc>
          <w:tcPr/>
          <w:p>
            <w:pPr>
              <w:pStyle w:val="Compact"/>
              <w:jc w:val="left"/>
            </w:pPr>
            <w:r>
              <w:t xml:space="preserve">68300</w:t>
            </w:r>
          </w:p>
        </w:tc>
        <w:tc>
          <w:tcPr/>
          <w:p>
            <w:pPr>
              <w:pStyle w:val="Compact"/>
              <w:jc w:val="left"/>
            </w:pPr>
            <w:r>
              <w:t xml:space="preserve">Kälviä Keskus</w:t>
            </w:r>
          </w:p>
        </w:tc>
        <w:tc>
          <w:tcPr/>
          <w:p>
            <w:pPr>
              <w:pStyle w:val="Compact"/>
              <w:jc w:val="right"/>
            </w:pPr>
            <w:r>
              <w:t xml:space="preserve">85.0</w:t>
            </w:r>
          </w:p>
        </w:tc>
        <w:tc>
          <w:tcPr/>
          <w:p>
            <w:pPr>
              <w:pStyle w:val="Compact"/>
              <w:jc w:val="right"/>
            </w:pPr>
            <w:r>
              <w:t xml:space="preserve">84.2</w:t>
            </w:r>
          </w:p>
        </w:tc>
        <w:tc>
          <w:tcPr/>
          <w:p>
            <w:pPr>
              <w:pStyle w:val="Compact"/>
              <w:jc w:val="right"/>
            </w:pPr>
            <w:r>
              <w:t xml:space="preserve">91.7</w:t>
            </w:r>
          </w:p>
        </w:tc>
        <w:tc>
          <w:tcPr/>
          <w:p>
            <w:pPr>
              <w:pStyle w:val="Compact"/>
              <w:jc w:val="right"/>
            </w:pPr>
            <w:r>
              <w:t xml:space="preserve">75.1</w:t>
            </w:r>
          </w:p>
        </w:tc>
        <w:tc>
          <w:tcPr/>
          <w:p>
            <w:pPr>
              <w:pStyle w:val="Compact"/>
              <w:jc w:val="right"/>
            </w:pPr>
            <w:r>
              <w:t xml:space="preserve">88.9</w:t>
            </w:r>
          </w:p>
        </w:tc>
      </w:tr>
      <w:tr>
        <w:tc>
          <w:tcPr/>
          <w:p>
            <w:pPr>
              <w:pStyle w:val="Compact"/>
              <w:jc w:val="left"/>
            </w:pPr>
            <w:r>
              <w:t xml:space="preserve">68550</w:t>
            </w:r>
          </w:p>
        </w:tc>
        <w:tc>
          <w:tcPr/>
          <w:p>
            <w:pPr>
              <w:pStyle w:val="Compact"/>
              <w:jc w:val="left"/>
            </w:pPr>
            <w:r>
              <w:t xml:space="preserve">Öja</w:t>
            </w:r>
          </w:p>
        </w:tc>
        <w:tc>
          <w:tcPr/>
          <w:p>
            <w:pPr>
              <w:pStyle w:val="Compact"/>
              <w:jc w:val="right"/>
            </w:pPr>
            <w:r>
              <w:t xml:space="preserve">80.4</w:t>
            </w:r>
          </w:p>
        </w:tc>
        <w:tc>
          <w:tcPr/>
          <w:p>
            <w:pPr>
              <w:pStyle w:val="Compact"/>
              <w:jc w:val="right"/>
            </w:pPr>
            <w:r>
              <w:t xml:space="preserve">66.5</w:t>
            </w:r>
          </w:p>
        </w:tc>
        <w:tc>
          <w:tcPr/>
          <w:p>
            <w:pPr>
              <w:pStyle w:val="Compact"/>
              <w:jc w:val="right"/>
            </w:pPr>
            <w:r>
              <w:t xml:space="preserve">93.0</w:t>
            </w:r>
          </w:p>
        </w:tc>
        <w:tc>
          <w:tcPr/>
          <w:p>
            <w:pPr>
              <w:pStyle w:val="Compact"/>
              <w:jc w:val="right"/>
            </w:pPr>
            <w:r>
              <w:t xml:space="preserve">75.1</w:t>
            </w:r>
          </w:p>
        </w:tc>
        <w:tc>
          <w:tcPr/>
          <w:p>
            <w:pPr>
              <w:pStyle w:val="Compact"/>
              <w:jc w:val="right"/>
            </w:pPr>
            <w:r>
              <w:t xml:space="preserve">87.1</w:t>
            </w:r>
          </w:p>
        </w:tc>
      </w:tr>
      <w:tr>
        <w:tc>
          <w:tcPr/>
          <w:p>
            <w:pPr>
              <w:pStyle w:val="Compact"/>
              <w:jc w:val="left"/>
            </w:pPr>
            <w:r>
              <w:t xml:space="preserve">67410</w:t>
            </w:r>
          </w:p>
        </w:tc>
        <w:tc>
          <w:tcPr/>
          <w:p>
            <w:pPr>
              <w:pStyle w:val="Compact"/>
              <w:jc w:val="left"/>
            </w:pPr>
            <w:r>
              <w:t xml:space="preserve">Vitsari</w:t>
            </w:r>
          </w:p>
        </w:tc>
        <w:tc>
          <w:tcPr/>
          <w:p>
            <w:pPr>
              <w:pStyle w:val="Compact"/>
              <w:jc w:val="right"/>
            </w:pPr>
            <w:r>
              <w:t xml:space="preserve">75.4</w:t>
            </w:r>
          </w:p>
        </w:tc>
        <w:tc>
          <w:tcPr/>
          <w:p>
            <w:pPr>
              <w:pStyle w:val="Compact"/>
              <w:jc w:val="right"/>
            </w:pPr>
            <w:r>
              <w:t xml:space="preserve">67.3</w:t>
            </w:r>
          </w:p>
        </w:tc>
        <w:tc>
          <w:tcPr/>
          <w:p>
            <w:pPr>
              <w:pStyle w:val="Compact"/>
              <w:jc w:val="right"/>
            </w:pPr>
            <w:r>
              <w:t xml:space="preserve">81.8</w:t>
            </w:r>
          </w:p>
        </w:tc>
        <w:tc>
          <w:tcPr/>
          <w:p>
            <w:pPr>
              <w:pStyle w:val="Compact"/>
              <w:jc w:val="right"/>
            </w:pPr>
            <w:r>
              <w:t xml:space="preserve">56.3</w:t>
            </w:r>
          </w:p>
        </w:tc>
        <w:tc>
          <w:tcPr/>
          <w:p>
            <w:pPr>
              <w:pStyle w:val="Compact"/>
              <w:jc w:val="right"/>
            </w:pPr>
            <w:r>
              <w:t xml:space="preserve">96.0</w:t>
            </w:r>
          </w:p>
        </w:tc>
      </w:tr>
      <w:tr>
        <w:tc>
          <w:tcPr/>
          <w:p>
            <w:pPr>
              <w:pStyle w:val="Compact"/>
              <w:jc w:val="left"/>
            </w:pPr>
            <w:r>
              <w:t xml:space="preserve">68320</w:t>
            </w:r>
          </w:p>
        </w:tc>
        <w:tc>
          <w:tcPr/>
          <w:p>
            <w:pPr>
              <w:pStyle w:val="Compact"/>
              <w:jc w:val="left"/>
            </w:pPr>
            <w:r>
              <w:t xml:space="preserve">Ruotsalo</w:t>
            </w:r>
          </w:p>
        </w:tc>
        <w:tc>
          <w:tcPr/>
          <w:p>
            <w:pPr>
              <w:pStyle w:val="Compact"/>
              <w:jc w:val="right"/>
            </w:pPr>
            <w:r>
              <w:t xml:space="preserve">70.7</w:t>
            </w:r>
          </w:p>
        </w:tc>
        <w:tc>
          <w:tcPr/>
          <w:p>
            <w:pPr>
              <w:pStyle w:val="Compact"/>
              <w:jc w:val="right"/>
            </w:pPr>
            <w:r>
              <w:t xml:space="preserve">63.3</w:t>
            </w:r>
          </w:p>
        </w:tc>
        <w:tc>
          <w:tcPr/>
          <w:p>
            <w:pPr>
              <w:pStyle w:val="Compact"/>
              <w:jc w:val="right"/>
            </w:pPr>
            <w:r>
              <w:t xml:space="preserve">80.5</w:t>
            </w:r>
          </w:p>
        </w:tc>
        <w:tc>
          <w:tcPr/>
          <w:p>
            <w:pPr>
              <w:pStyle w:val="Compact"/>
              <w:jc w:val="right"/>
            </w:pPr>
            <w:r>
              <w:t xml:space="preserve">63.6</w:t>
            </w:r>
          </w:p>
        </w:tc>
        <w:tc>
          <w:tcPr/>
          <w:p>
            <w:pPr>
              <w:pStyle w:val="Compact"/>
              <w:jc w:val="right"/>
            </w:pPr>
            <w:r>
              <w:t xml:space="preserve">75.3</w:t>
            </w:r>
          </w:p>
        </w:tc>
      </w:tr>
      <w:tr>
        <w:tc>
          <w:tcPr/>
          <w:p>
            <w:pPr>
              <w:pStyle w:val="Compact"/>
              <w:jc w:val="left"/>
            </w:pPr>
            <w:r>
              <w:t xml:space="preserve">68220</w:t>
            </w:r>
          </w:p>
        </w:tc>
        <w:tc>
          <w:tcPr/>
          <w:p>
            <w:pPr>
              <w:pStyle w:val="Compact"/>
              <w:jc w:val="left"/>
            </w:pPr>
            <w:r>
              <w:t xml:space="preserve">Karhi</w:t>
            </w:r>
          </w:p>
        </w:tc>
        <w:tc>
          <w:tcPr/>
          <w:p>
            <w:pPr>
              <w:pStyle w:val="Compact"/>
              <w:jc w:val="right"/>
            </w:pPr>
            <w:r>
              <w:t xml:space="preserve">70.1</w:t>
            </w:r>
          </w:p>
        </w:tc>
        <w:tc>
          <w:tcPr/>
          <w:p>
            <w:pPr>
              <w:pStyle w:val="Compact"/>
              <w:jc w:val="right"/>
            </w:pPr>
            <w:r>
              <w:t xml:space="preserve">59.2</w:t>
            </w:r>
          </w:p>
        </w:tc>
        <w:tc>
          <w:tcPr/>
          <w:p>
            <w:pPr>
              <w:pStyle w:val="Compact"/>
              <w:jc w:val="right"/>
            </w:pPr>
            <w:r>
              <w:t xml:space="preserve">106.1</w:t>
            </w:r>
          </w:p>
        </w:tc>
        <w:tc>
          <w:tcPr/>
          <w:p>
            <w:pPr>
              <w:pStyle w:val="Compact"/>
              <w:jc w:val="right"/>
            </w:pPr>
            <w:r>
              <w:t xml:space="preserve">54.8</w:t>
            </w:r>
          </w:p>
        </w:tc>
        <w:tc>
          <w:tcPr/>
          <w:p>
            <w:pPr>
              <w:pStyle w:val="Compact"/>
              <w:jc w:val="right"/>
            </w:pPr>
            <w:r>
              <w:t xml:space="preserve">60.2</w:t>
            </w:r>
          </w:p>
        </w:tc>
      </w:tr>
      <w:tr>
        <w:tc>
          <w:tcPr/>
          <w:p>
            <w:pPr>
              <w:pStyle w:val="Compact"/>
              <w:jc w:val="left"/>
            </w:pPr>
            <w:r>
              <w:t xml:space="preserve">67500</w:t>
            </w:r>
          </w:p>
        </w:tc>
        <w:tc>
          <w:tcPr/>
          <w:p>
            <w:pPr>
              <w:pStyle w:val="Compact"/>
              <w:jc w:val="left"/>
            </w:pPr>
            <w:r>
              <w:t xml:space="preserve">Sokoja</w:t>
            </w:r>
          </w:p>
        </w:tc>
        <w:tc>
          <w:tcPr/>
          <w:p>
            <w:pPr>
              <w:pStyle w:val="Compact"/>
              <w:jc w:val="right"/>
            </w:pPr>
            <w:r>
              <w:t xml:space="preserve">70.0</w:t>
            </w:r>
          </w:p>
        </w:tc>
        <w:tc>
          <w:tcPr/>
          <w:p>
            <w:pPr>
              <w:pStyle w:val="Compact"/>
              <w:jc w:val="right"/>
            </w:pPr>
            <w:r>
              <w:t xml:space="preserve">63.1</w:t>
            </w:r>
          </w:p>
        </w:tc>
        <w:tc>
          <w:tcPr/>
          <w:p>
            <w:pPr>
              <w:pStyle w:val="Compact"/>
              <w:jc w:val="right"/>
            </w:pPr>
            <w:r>
              <w:t xml:space="preserve">90.6</w:t>
            </w:r>
          </w:p>
        </w:tc>
        <w:tc>
          <w:tcPr/>
          <w:p>
            <w:pPr>
              <w:pStyle w:val="Compact"/>
              <w:jc w:val="right"/>
            </w:pPr>
            <w:r>
              <w:t xml:space="preserve">32.6</w:t>
            </w:r>
          </w:p>
        </w:tc>
        <w:tc>
          <w:tcPr/>
          <w:p>
            <w:pPr>
              <w:pStyle w:val="Compact"/>
              <w:jc w:val="right"/>
            </w:pPr>
            <w:r>
              <w:t xml:space="preserve">93.6</w:t>
            </w:r>
          </w:p>
        </w:tc>
      </w:tr>
      <w:tr>
        <w:tc>
          <w:tcPr/>
          <w:p>
            <w:pPr>
              <w:pStyle w:val="Compact"/>
              <w:jc w:val="left"/>
            </w:pPr>
            <w:r>
              <w:t xml:space="preserve">67600</w:t>
            </w:r>
          </w:p>
        </w:tc>
        <w:tc>
          <w:tcPr/>
          <w:p>
            <w:pPr>
              <w:pStyle w:val="Compact"/>
              <w:jc w:val="left"/>
            </w:pPr>
            <w:r>
              <w:t xml:space="preserve">Linnusperä-Kaustari</w:t>
            </w:r>
          </w:p>
        </w:tc>
        <w:tc>
          <w:tcPr/>
          <w:p>
            <w:pPr>
              <w:pStyle w:val="Compact"/>
              <w:jc w:val="right"/>
            </w:pPr>
            <w:r>
              <w:t xml:space="preserve">67.1</w:t>
            </w:r>
          </w:p>
        </w:tc>
        <w:tc>
          <w:tcPr/>
          <w:p>
            <w:pPr>
              <w:pStyle w:val="Compact"/>
              <w:jc w:val="right"/>
            </w:pPr>
            <w:r>
              <w:t xml:space="preserve">54.1</w:t>
            </w:r>
          </w:p>
        </w:tc>
        <w:tc>
          <w:tcPr/>
          <w:p>
            <w:pPr>
              <w:pStyle w:val="Compact"/>
              <w:jc w:val="right"/>
            </w:pPr>
            <w:r>
              <w:t xml:space="preserve">84.9</w:t>
            </w:r>
          </w:p>
        </w:tc>
        <w:tc>
          <w:tcPr/>
          <w:p>
            <w:pPr>
              <w:pStyle w:val="Compact"/>
              <w:jc w:val="right"/>
            </w:pPr>
            <w:r>
              <w:t xml:space="preserve">52.5</w:t>
            </w:r>
          </w:p>
        </w:tc>
        <w:tc>
          <w:tcPr/>
          <w:p>
            <w:pPr>
              <w:pStyle w:val="Compact"/>
              <w:jc w:val="right"/>
            </w:pPr>
            <w:r>
              <w:t xml:space="preserve">77.0</w:t>
            </w:r>
          </w:p>
        </w:tc>
      </w:tr>
      <w:tr>
        <w:tc>
          <w:tcPr/>
          <w:p>
            <w:pPr>
              <w:pStyle w:val="Compact"/>
              <w:jc w:val="left"/>
            </w:pPr>
            <w:r>
              <w:t xml:space="preserve">67700</w:t>
            </w:r>
          </w:p>
        </w:tc>
        <w:tc>
          <w:tcPr/>
          <w:p>
            <w:pPr>
              <w:pStyle w:val="Compact"/>
              <w:jc w:val="left"/>
            </w:pPr>
            <w:r>
              <w:t xml:space="preserve">Kirkonmäki-Isokylä</w:t>
            </w:r>
          </w:p>
        </w:tc>
        <w:tc>
          <w:tcPr/>
          <w:p>
            <w:pPr>
              <w:pStyle w:val="Compact"/>
              <w:jc w:val="right"/>
            </w:pPr>
            <w:r>
              <w:t xml:space="preserve">65.1</w:t>
            </w:r>
          </w:p>
        </w:tc>
        <w:tc>
          <w:tcPr/>
          <w:p>
            <w:pPr>
              <w:pStyle w:val="Compact"/>
              <w:jc w:val="right"/>
            </w:pPr>
            <w:r>
              <w:t xml:space="preserve">60.4</w:t>
            </w:r>
          </w:p>
        </w:tc>
        <w:tc>
          <w:tcPr/>
          <w:p>
            <w:pPr>
              <w:pStyle w:val="Compact"/>
              <w:jc w:val="right"/>
            </w:pPr>
            <w:r>
              <w:t xml:space="preserve">69.5</w:t>
            </w:r>
          </w:p>
        </w:tc>
        <w:tc>
          <w:tcPr/>
          <w:p>
            <w:pPr>
              <w:pStyle w:val="Compact"/>
              <w:jc w:val="right"/>
            </w:pPr>
            <w:r>
              <w:t xml:space="preserve">62.7</w:t>
            </w:r>
          </w:p>
        </w:tc>
        <w:tc>
          <w:tcPr/>
          <w:p>
            <w:pPr>
              <w:pStyle w:val="Compact"/>
              <w:jc w:val="right"/>
            </w:pPr>
            <w:r>
              <w:t xml:space="preserve">67.7</w:t>
            </w:r>
          </w:p>
        </w:tc>
      </w:tr>
      <w:tr>
        <w:tc>
          <w:tcPr/>
          <w:p>
            <w:pPr>
              <w:pStyle w:val="Compact"/>
              <w:jc w:val="left"/>
            </w:pPr>
            <w:r>
              <w:t xml:space="preserve">67300</w:t>
            </w:r>
          </w:p>
        </w:tc>
        <w:tc>
          <w:tcPr/>
          <w:p>
            <w:pPr>
              <w:pStyle w:val="Compact"/>
              <w:jc w:val="left"/>
            </w:pPr>
            <w:r>
              <w:t xml:space="preserve">Halkokari</w:t>
            </w:r>
          </w:p>
        </w:tc>
        <w:tc>
          <w:tcPr/>
          <w:p>
            <w:pPr>
              <w:pStyle w:val="Compact"/>
              <w:jc w:val="right"/>
            </w:pPr>
            <w:r>
              <w:t xml:space="preserve">61.3</w:t>
            </w:r>
          </w:p>
        </w:tc>
        <w:tc>
          <w:tcPr/>
          <w:p>
            <w:pPr>
              <w:pStyle w:val="Compact"/>
              <w:jc w:val="right"/>
            </w:pPr>
            <w:r>
              <w:t xml:space="preserve">52.7</w:t>
            </w:r>
          </w:p>
        </w:tc>
        <w:tc>
          <w:tcPr/>
          <w:p>
            <w:pPr>
              <w:pStyle w:val="Compact"/>
              <w:jc w:val="right"/>
            </w:pPr>
            <w:r>
              <w:t xml:space="preserve">66.4</w:t>
            </w:r>
          </w:p>
        </w:tc>
        <w:tc>
          <w:tcPr/>
          <w:p>
            <w:pPr>
              <w:pStyle w:val="Compact"/>
              <w:jc w:val="right"/>
            </w:pPr>
            <w:r>
              <w:t xml:space="preserve">60.2</w:t>
            </w:r>
          </w:p>
        </w:tc>
        <w:tc>
          <w:tcPr/>
          <w:p>
            <w:pPr>
              <w:pStyle w:val="Compact"/>
              <w:jc w:val="right"/>
            </w:pPr>
            <w:r>
              <w:t xml:space="preserve">66.0</w:t>
            </w:r>
          </w:p>
        </w:tc>
      </w:tr>
      <w:tr>
        <w:tc>
          <w:tcPr/>
          <w:p>
            <w:pPr>
              <w:pStyle w:val="Compact"/>
              <w:jc w:val="left"/>
            </w:pPr>
            <w:r>
              <w:t xml:space="preserve">67400</w:t>
            </w:r>
          </w:p>
        </w:tc>
        <w:tc>
          <w:tcPr/>
          <w:p>
            <w:pPr>
              <w:pStyle w:val="Compact"/>
              <w:jc w:val="left"/>
            </w:pPr>
            <w:r>
              <w:t xml:space="preserve">Rytimäki</w:t>
            </w:r>
          </w:p>
        </w:tc>
        <w:tc>
          <w:tcPr/>
          <w:p>
            <w:pPr>
              <w:pStyle w:val="Compact"/>
              <w:jc w:val="right"/>
            </w:pPr>
            <w:r>
              <w:t xml:space="preserve">59.3</w:t>
            </w:r>
          </w:p>
        </w:tc>
        <w:tc>
          <w:tcPr/>
          <w:p>
            <w:pPr>
              <w:pStyle w:val="Compact"/>
              <w:jc w:val="right"/>
            </w:pPr>
            <w:r>
              <w:t xml:space="preserve">51.0</w:t>
            </w:r>
          </w:p>
        </w:tc>
        <w:tc>
          <w:tcPr/>
          <w:p>
            <w:pPr>
              <w:pStyle w:val="Compact"/>
              <w:jc w:val="right"/>
            </w:pPr>
            <w:r>
              <w:t xml:space="preserve">67.3</w:t>
            </w:r>
          </w:p>
        </w:tc>
        <w:tc>
          <w:tcPr/>
          <w:p>
            <w:pPr>
              <w:pStyle w:val="Compact"/>
              <w:jc w:val="right"/>
            </w:pPr>
            <w:r>
              <w:t xml:space="preserve">55.6</w:t>
            </w:r>
          </w:p>
        </w:tc>
        <w:tc>
          <w:tcPr/>
          <w:p>
            <w:pPr>
              <w:pStyle w:val="Compact"/>
              <w:jc w:val="right"/>
            </w:pPr>
            <w:r>
              <w:t xml:space="preserve">63.5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okkol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okkol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okkol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okkol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Kokkola (Seutukunnat)</dc:title>
  <dc:creator>Diakin karttasovellus 2023-02-27 20:13:38</dc:creator>
  <cp:keywords/>
  <dcterms:created xsi:type="dcterms:W3CDTF">2023-02-27T18:14:51Z</dcterms:created>
  <dcterms:modified xsi:type="dcterms:W3CDTF">2023-02-27T18:14:51Z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