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Kuortane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21:29:53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21:29:53.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Kuortane. Lisäksi tarkastelussa ovat rajanaapurit: Alajärvi, Alavus, Kuortane, Lapua ja Seinäjoki.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kuortan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rtan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Alavus (naapuri)</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Lapua (naapuri)</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Kuortane (valittu)</w:t>
            </w:r>
          </w:p>
        </w:tc>
        <w:tc>
          <w:tcPr/>
          <w:p>
            <w:pPr>
              <w:pStyle w:val="Compact"/>
              <w:jc w:val="right"/>
            </w:pPr>
            <w:r>
              <w:t xml:space="preserve">68.0</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Alavus (naapuri)</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Lapua (naapuri)</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Kuortane (valittu)</w:t>
            </w:r>
          </w:p>
        </w:tc>
        <w:tc>
          <w:tcPr/>
          <w:p>
            <w:pPr>
              <w:pStyle w:val="Compact"/>
              <w:jc w:val="right"/>
            </w:pPr>
            <w:r>
              <w:t xml:space="preserve">75.8</w:t>
            </w:r>
          </w:p>
        </w:tc>
        <w:tc>
          <w:tcPr/>
          <w:p>
            <w:pPr>
              <w:pStyle w:val="Compact"/>
              <w:jc w:val="right"/>
            </w:pPr>
            <w:r>
              <w:t xml:space="preserve">250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Alavus (naapuri)</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Lapua (naapuri)</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Kuortane (valittu)</w:t>
            </w:r>
          </w:p>
        </w:tc>
        <w:tc>
          <w:tcPr/>
          <w:p>
            <w:pPr>
              <w:pStyle w:val="Compact"/>
              <w:jc w:val="right"/>
            </w:pPr>
            <w:r>
              <w:t xml:space="preserve">59.6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Alavus (naapuri)</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Lapua (naapuri)</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Kuortane (valittu)</w:t>
            </w:r>
          </w:p>
        </w:tc>
        <w:tc>
          <w:tcPr/>
          <w:p>
            <w:pPr>
              <w:pStyle w:val="Compact"/>
              <w:jc w:val="right"/>
            </w:pPr>
            <w:r>
              <w:t xml:space="preserve">68.7</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rtan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rtan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Kuortane (valittu)</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Lapua (naapuri)</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Alavus (naapuri)</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Alavus (naapuri)</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Kuortane (valittu)</w:t>
            </w:r>
          </w:p>
        </w:tc>
        <w:tc>
          <w:tcPr/>
          <w:p>
            <w:pPr>
              <w:pStyle w:val="Compact"/>
              <w:jc w:val="right"/>
            </w:pPr>
            <w:r>
              <w:t xml:space="preserve">84.5</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Lapua (naapuri)</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Alavus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Kuortane (valittu)</w:t>
            </w:r>
          </w:p>
        </w:tc>
        <w:tc>
          <w:tcPr/>
          <w:p>
            <w:pPr>
              <w:pStyle w:val="Compact"/>
              <w:jc w:val="right"/>
            </w:pPr>
            <w:r>
              <w:t xml:space="preserve">29.9</w:t>
            </w:r>
          </w:p>
        </w:tc>
        <w:tc>
          <w:tcPr/>
          <w:p>
            <w:pPr>
              <w:pStyle w:val="Compact"/>
              <w:jc w:val="right"/>
            </w:pPr>
            <w:r>
              <w:t xml:space="preserve">288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Kuortane (valittu)</w:t>
            </w:r>
          </w:p>
        </w:tc>
        <w:tc>
          <w:tcPr/>
          <w:p>
            <w:pPr>
              <w:pStyle w:val="Compact"/>
              <w:jc w:val="right"/>
            </w:pPr>
            <w:r>
              <w:t xml:space="preserve">112.1</w:t>
            </w:r>
          </w:p>
        </w:tc>
        <w:tc>
          <w:tcPr/>
          <w:p>
            <w:pPr>
              <w:pStyle w:val="Compact"/>
              <w:jc w:val="right"/>
            </w:pPr>
            <w:r>
              <w:t xml:space="preserve">72</w:t>
            </w:r>
          </w:p>
        </w:tc>
      </w:tr>
      <w:tr>
        <w:tc>
          <w:tcPr/>
          <w:p>
            <w:pPr>
              <w:pStyle w:val="Compact"/>
              <w:jc w:val="left"/>
            </w:pPr>
            <w:r>
              <w:t xml:space="preserve">Alavus (naapuri)</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Lapua (naapuri)</w:t>
            </w:r>
          </w:p>
        </w:tc>
        <w:tc>
          <w:tcPr/>
          <w:p>
            <w:pPr>
              <w:pStyle w:val="Compact"/>
              <w:jc w:val="right"/>
            </w:pPr>
            <w:r>
              <w:t xml:space="preserve">76.1</w:t>
            </w:r>
          </w:p>
        </w:tc>
        <w:tc>
          <w:tcPr/>
          <w:p>
            <w:pPr>
              <w:pStyle w:val="Compact"/>
              <w:jc w:val="right"/>
            </w:pPr>
            <w:r>
              <w:t xml:space="preserve">128</w:t>
            </w:r>
          </w:p>
        </w:tc>
      </w:tr>
      <w:tr>
        <w:tc>
          <w:tcPr/>
          <w:p>
            <w:pPr>
              <w:pStyle w:val="Compact"/>
              <w:jc w:val="left"/>
            </w:pPr>
            <w:r>
              <w:t xml:space="preserve">Alajärvi (naapuri)</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Alavus (naapuri)</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Lapua (naapuri)</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Kuortane (valittu)</w:t>
            </w:r>
          </w:p>
        </w:tc>
        <w:tc>
          <w:tcPr/>
          <w:p>
            <w:pPr>
              <w:pStyle w:val="Compact"/>
              <w:jc w:val="right"/>
            </w:pPr>
            <w:r>
              <w:t xml:space="preserve">31.5</w:t>
            </w:r>
          </w:p>
        </w:tc>
        <w:tc>
          <w:tcPr/>
          <w:p>
            <w:pPr>
              <w:pStyle w:val="Compact"/>
              <w:jc w:val="right"/>
            </w:pPr>
            <w:r>
              <w:t xml:space="preserve">278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Kuortane (valittu)</w:t>
            </w:r>
          </w:p>
        </w:tc>
        <w:tc>
          <w:tcPr/>
          <w:p>
            <w:pPr>
              <w:pStyle w:val="Compact"/>
              <w:jc w:val="right"/>
            </w:pPr>
            <w:r>
              <w:t xml:space="preserve">99.0</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Lapua (naapuri)</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rtane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rtane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Kuortane (valittu)</w:t>
            </w:r>
          </w:p>
        </w:tc>
        <w:tc>
          <w:tcPr/>
          <w:p>
            <w:pPr>
              <w:pStyle w:val="Compact"/>
              <w:jc w:val="right"/>
            </w:pPr>
            <w:r>
              <w:t xml:space="preserve">76.7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Alavus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Lapua (naapuri)</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Kuortane (valittu)</w:t>
            </w:r>
          </w:p>
        </w:tc>
        <w:tc>
          <w:tcPr/>
          <w:p>
            <w:pPr>
              <w:pStyle w:val="Compact"/>
              <w:jc w:val="right"/>
            </w:pPr>
            <w:r>
              <w:t xml:space="preserve">32.8</w:t>
            </w:r>
          </w:p>
        </w:tc>
        <w:tc>
          <w:tcPr/>
          <w:p>
            <w:pPr>
              <w:pStyle w:val="Compact"/>
              <w:jc w:val="right"/>
            </w:pPr>
            <w:r>
              <w:t xml:space="preserve">286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Lapua (naapuri)</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Alavus (naapuri)</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Kuortane (valittu)</w:t>
            </w:r>
          </w:p>
        </w:tc>
        <w:tc>
          <w:tcPr/>
          <w:p>
            <w:pPr>
              <w:pStyle w:val="Compact"/>
              <w:jc w:val="right"/>
            </w:pPr>
            <w:r>
              <w:t xml:space="preserve">68.1</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Alavus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Kuortane (valittu)</w:t>
            </w:r>
          </w:p>
        </w:tc>
        <w:tc>
          <w:tcPr/>
          <w:p>
            <w:pPr>
              <w:pStyle w:val="Compact"/>
              <w:jc w:val="right"/>
            </w:pPr>
            <w:r>
              <w:t xml:space="preserve">60.7</w:t>
            </w:r>
          </w:p>
        </w:tc>
        <w:tc>
          <w:tcPr/>
          <w:p>
            <w:pPr>
              <w:pStyle w:val="Compact"/>
              <w:jc w:val="right"/>
            </w:pPr>
            <w:r>
              <w:t xml:space="preserve">268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rtane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rtane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Lapua (naapuri)</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Alavus (naapuri)</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Kuortane (valittu)</w:t>
            </w:r>
          </w:p>
        </w:tc>
        <w:tc>
          <w:tcPr/>
          <w:p>
            <w:pPr>
              <w:pStyle w:val="Compact"/>
              <w:jc w:val="right"/>
            </w:pPr>
            <w:r>
              <w:t xml:space="preserve">53.6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Alavus (naapuri)</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Lapua (naapuri)</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Kuortane (valittu)</w:t>
            </w:r>
          </w:p>
        </w:tc>
        <w:tc>
          <w:tcPr/>
          <w:p>
            <w:pPr>
              <w:pStyle w:val="Compact"/>
              <w:jc w:val="right"/>
            </w:pPr>
            <w:r>
              <w:t xml:space="preserve">66.6</w:t>
            </w:r>
          </w:p>
        </w:tc>
        <w:tc>
          <w:tcPr/>
          <w:p>
            <w:pPr>
              <w:pStyle w:val="Compact"/>
              <w:jc w:val="right"/>
            </w:pPr>
            <w:r>
              <w:t xml:space="preserve">214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Alavus (naapuri)</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Lapua (naapuri)</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Kuortane (valittu)</w:t>
            </w:r>
          </w:p>
        </w:tc>
        <w:tc>
          <w:tcPr/>
          <w:p>
            <w:pPr>
              <w:pStyle w:val="Compact"/>
              <w:jc w:val="right"/>
            </w:pPr>
            <w:r>
              <w:t xml:space="preserve">104.4</w:t>
            </w:r>
          </w:p>
        </w:tc>
        <w:tc>
          <w:tcPr/>
          <w:p>
            <w:pPr>
              <w:pStyle w:val="Compact"/>
              <w:jc w:val="right"/>
            </w:pPr>
            <w:r>
              <w:t xml:space="preserve">133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Alavus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Lapua (naapuri)</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Kuortane (valittu)</w:t>
            </w:r>
          </w:p>
        </w:tc>
        <w:tc>
          <w:tcPr/>
          <w:p>
            <w:pPr>
              <w:pStyle w:val="Compact"/>
              <w:jc w:val="right"/>
            </w:pPr>
            <w:r>
              <w:t xml:space="preserve">50.0</w:t>
            </w:r>
          </w:p>
        </w:tc>
        <w:tc>
          <w:tcPr/>
          <w:p>
            <w:pPr>
              <w:pStyle w:val="Compact"/>
              <w:jc w:val="right"/>
            </w:pPr>
            <w:r>
              <w:t xml:space="preserve">254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rtane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63450</w:t>
            </w:r>
          </w:p>
        </w:tc>
        <w:tc>
          <w:tcPr/>
          <w:p>
            <w:pPr>
              <w:pStyle w:val="Compact"/>
              <w:jc w:val="left"/>
            </w:pPr>
            <w:r>
              <w:t xml:space="preserve">Löyä</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186.5</w:t>
            </w:r>
          </w:p>
        </w:tc>
        <w:tc>
          <w:tcPr/>
          <w:p>
            <w:pPr>
              <w:pStyle w:val="Compact"/>
              <w:jc w:val="right"/>
            </w:pPr>
            <w:r>
              <w:t xml:space="preserve">22.2</w:t>
            </w:r>
          </w:p>
        </w:tc>
        <w:tc>
          <w:tcPr/>
          <w:p>
            <w:pPr>
              <w:pStyle w:val="Compact"/>
              <w:jc w:val="right"/>
            </w:pPr>
            <w:r>
              <w:t xml:space="preserve">170.3</w:t>
            </w:r>
          </w:p>
        </w:tc>
      </w:tr>
      <w:tr>
        <w:tc>
          <w:tcPr/>
          <w:p>
            <w:pPr>
              <w:pStyle w:val="Compact"/>
              <w:jc w:val="left"/>
            </w:pPr>
            <w:r>
              <w:t xml:space="preserve">63150</w:t>
            </w:r>
          </w:p>
        </w:tc>
        <w:tc>
          <w:tcPr/>
          <w:p>
            <w:pPr>
              <w:pStyle w:val="Compact"/>
              <w:jc w:val="left"/>
            </w:pPr>
            <w:r>
              <w:t xml:space="preserve">Ruona</w:t>
            </w:r>
          </w:p>
        </w:tc>
        <w:tc>
          <w:tcPr/>
          <w:p>
            <w:pPr>
              <w:pStyle w:val="Compact"/>
              <w:jc w:val="right"/>
            </w:pPr>
            <w:r>
              <w:t xml:space="preserve">117.5</w:t>
            </w:r>
          </w:p>
        </w:tc>
        <w:tc>
          <w:tcPr/>
          <w:p>
            <w:pPr>
              <w:pStyle w:val="Compact"/>
              <w:jc w:val="right"/>
            </w:pPr>
            <w:r>
              <w:t xml:space="preserve">124.2</w:t>
            </w:r>
          </w:p>
        </w:tc>
        <w:tc>
          <w:tcPr/>
          <w:p>
            <w:pPr>
              <w:pStyle w:val="Compact"/>
              <w:jc w:val="right"/>
            </w:pPr>
            <w:r>
              <w:t xml:space="preserve">134.8</w:t>
            </w:r>
          </w:p>
        </w:tc>
        <w:tc>
          <w:tcPr/>
          <w:p>
            <w:pPr>
              <w:pStyle w:val="Compact"/>
              <w:jc w:val="right"/>
            </w:pPr>
            <w:r>
              <w:t xml:space="preserve">105.5</w:t>
            </w:r>
          </w:p>
        </w:tc>
        <w:tc>
          <w:tcPr/>
          <w:p>
            <w:pPr>
              <w:pStyle w:val="Compact"/>
              <w:jc w:val="right"/>
            </w:pPr>
            <w:r>
              <w:t xml:space="preserve">105.4</w:t>
            </w:r>
          </w:p>
        </w:tc>
      </w:tr>
      <w:tr>
        <w:tc>
          <w:tcPr/>
          <w:p>
            <w:pPr>
              <w:pStyle w:val="Compact"/>
              <w:jc w:val="left"/>
            </w:pPr>
            <w:r>
              <w:t xml:space="preserve">63120</w:t>
            </w:r>
          </w:p>
        </w:tc>
        <w:tc>
          <w:tcPr/>
          <w:p>
            <w:pPr>
              <w:pStyle w:val="Compact"/>
              <w:jc w:val="left"/>
            </w:pPr>
            <w:r>
              <w:t xml:space="preserve">Leppälänkylä</w:t>
            </w:r>
          </w:p>
        </w:tc>
        <w:tc>
          <w:tcPr/>
          <w:p>
            <w:pPr>
              <w:pStyle w:val="Compact"/>
              <w:jc w:val="right"/>
            </w:pPr>
            <w:r>
              <w:t xml:space="preserve">110.1</w:t>
            </w:r>
          </w:p>
        </w:tc>
        <w:tc>
          <w:tcPr/>
          <w:p>
            <w:pPr>
              <w:pStyle w:val="Compact"/>
              <w:jc w:val="right"/>
            </w:pPr>
            <w:r>
              <w:t xml:space="preserve">116.7</w:t>
            </w:r>
          </w:p>
        </w:tc>
        <w:tc>
          <w:tcPr/>
          <w:p>
            <w:pPr>
              <w:pStyle w:val="Compact"/>
              <w:jc w:val="right"/>
            </w:pPr>
            <w:r>
              <w:t xml:space="preserve">122.1</w:t>
            </w:r>
          </w:p>
        </w:tc>
        <w:tc>
          <w:tcPr/>
          <w:p>
            <w:pPr>
              <w:pStyle w:val="Compact"/>
              <w:jc w:val="right"/>
            </w:pPr>
            <w:r>
              <w:t xml:space="preserve">59.1</w:t>
            </w:r>
          </w:p>
        </w:tc>
        <w:tc>
          <w:tcPr/>
          <w:p>
            <w:pPr>
              <w:pStyle w:val="Compact"/>
              <w:jc w:val="right"/>
            </w:pPr>
            <w:r>
              <w:t xml:space="preserve">142.5</w:t>
            </w:r>
          </w:p>
        </w:tc>
      </w:tr>
      <w:tr>
        <w:tc>
          <w:tcPr/>
          <w:p>
            <w:pPr>
              <w:pStyle w:val="Compact"/>
              <w:jc w:val="left"/>
            </w:pPr>
            <w:r>
              <w:t xml:space="preserve">63250</w:t>
            </w:r>
          </w:p>
        </w:tc>
        <w:tc>
          <w:tcPr/>
          <w:p>
            <w:pPr>
              <w:pStyle w:val="Compact"/>
              <w:jc w:val="left"/>
            </w:pPr>
            <w:r>
              <w:t xml:space="preserve">Rantala</w:t>
            </w:r>
          </w:p>
        </w:tc>
        <w:tc>
          <w:tcPr/>
          <w:p>
            <w:pPr>
              <w:pStyle w:val="Compact"/>
              <w:jc w:val="right"/>
            </w:pPr>
            <w:r>
              <w:t xml:space="preserve">108.6</w:t>
            </w:r>
          </w:p>
        </w:tc>
        <w:tc>
          <w:tcPr/>
          <w:p>
            <w:pPr>
              <w:pStyle w:val="Compact"/>
              <w:jc w:val="right"/>
            </w:pPr>
            <w:r>
              <w:t xml:space="preserve">84.0</w:t>
            </w:r>
          </w:p>
        </w:tc>
        <w:tc>
          <w:tcPr/>
          <w:p>
            <w:pPr>
              <w:pStyle w:val="Compact"/>
              <w:jc w:val="right"/>
            </w:pPr>
            <w:r>
              <w:t xml:space="preserve">121.1</w:t>
            </w:r>
          </w:p>
        </w:tc>
        <w:tc>
          <w:tcPr/>
          <w:p>
            <w:pPr>
              <w:pStyle w:val="Compact"/>
              <w:jc w:val="right"/>
            </w:pPr>
            <w:r>
              <w:t xml:space="preserve">103.4</w:t>
            </w:r>
          </w:p>
        </w:tc>
        <w:tc>
          <w:tcPr/>
          <w:p>
            <w:pPr>
              <w:pStyle w:val="Compact"/>
              <w:jc w:val="right"/>
            </w:pPr>
            <w:r>
              <w:t xml:space="preserve">126.0</w:t>
            </w:r>
          </w:p>
        </w:tc>
      </w:tr>
      <w:tr>
        <w:tc>
          <w:tcPr/>
          <w:p>
            <w:pPr>
              <w:pStyle w:val="Compact"/>
              <w:jc w:val="left"/>
            </w:pPr>
            <w:r>
              <w:t xml:space="preserve">63230</w:t>
            </w:r>
          </w:p>
        </w:tc>
        <w:tc>
          <w:tcPr/>
          <w:p>
            <w:pPr>
              <w:pStyle w:val="Compact"/>
              <w:jc w:val="left"/>
            </w:pPr>
            <w:r>
              <w:t xml:space="preserve">Lentilä</w:t>
            </w:r>
          </w:p>
        </w:tc>
        <w:tc>
          <w:tcPr/>
          <w:p>
            <w:pPr>
              <w:pStyle w:val="Compact"/>
              <w:jc w:val="right"/>
            </w:pPr>
            <w:r>
              <w:t xml:space="preserve">101.2</w:t>
            </w:r>
          </w:p>
        </w:tc>
        <w:tc>
          <w:tcPr/>
          <w:p>
            <w:pPr>
              <w:pStyle w:val="Compact"/>
              <w:jc w:val="right"/>
            </w:pPr>
            <w:r>
              <w:t xml:space="preserve">105.4</w:t>
            </w:r>
          </w:p>
        </w:tc>
        <w:tc>
          <w:tcPr/>
          <w:p>
            <w:pPr>
              <w:pStyle w:val="Compact"/>
              <w:jc w:val="right"/>
            </w:pPr>
            <w:r>
              <w:t xml:space="preserve">116.9</w:t>
            </w:r>
          </w:p>
        </w:tc>
        <w:tc>
          <w:tcPr/>
          <w:p>
            <w:pPr>
              <w:pStyle w:val="Compact"/>
              <w:jc w:val="right"/>
            </w:pPr>
            <w:r>
              <w:t xml:space="preserve">62.1</w:t>
            </w:r>
          </w:p>
        </w:tc>
        <w:tc>
          <w:tcPr/>
          <w:p>
            <w:pPr>
              <w:pStyle w:val="Compact"/>
              <w:jc w:val="right"/>
            </w:pPr>
            <w:r>
              <w:t xml:space="preserve">120.5</w:t>
            </w:r>
          </w:p>
        </w:tc>
      </w:tr>
      <w:tr>
        <w:tc>
          <w:tcPr/>
          <w:p>
            <w:pPr>
              <w:pStyle w:val="Compact"/>
              <w:jc w:val="left"/>
            </w:pPr>
            <w:r>
              <w:t xml:space="preserve">63160</w:t>
            </w:r>
          </w:p>
        </w:tc>
        <w:tc>
          <w:tcPr/>
          <w:p>
            <w:pPr>
              <w:pStyle w:val="Compact"/>
              <w:jc w:val="left"/>
            </w:pPr>
            <w:r>
              <w:t xml:space="preserve">Salmi</w:t>
            </w:r>
          </w:p>
        </w:tc>
        <w:tc>
          <w:tcPr/>
          <w:p>
            <w:pPr>
              <w:pStyle w:val="Compact"/>
              <w:jc w:val="right"/>
            </w:pPr>
            <w:r>
              <w:t xml:space="preserve">100.7</w:t>
            </w:r>
          </w:p>
        </w:tc>
        <w:tc>
          <w:tcPr/>
          <w:p>
            <w:pPr>
              <w:pStyle w:val="Compact"/>
              <w:jc w:val="right"/>
            </w:pPr>
            <w:r>
              <w:t xml:space="preserve">92.6</w:t>
            </w:r>
          </w:p>
        </w:tc>
        <w:tc>
          <w:tcPr/>
          <w:p>
            <w:pPr>
              <w:pStyle w:val="Compact"/>
              <w:jc w:val="right"/>
            </w:pPr>
            <w:r>
              <w:t xml:space="preserve">144.1</w:t>
            </w:r>
          </w:p>
        </w:tc>
        <w:tc>
          <w:tcPr/>
          <w:p>
            <w:pPr>
              <w:pStyle w:val="Compact"/>
              <w:jc w:val="right"/>
            </w:pPr>
            <w:r>
              <w:t xml:space="preserve">27.5</w:t>
            </w:r>
          </w:p>
        </w:tc>
        <w:tc>
          <w:tcPr/>
          <w:p>
            <w:pPr>
              <w:pStyle w:val="Compact"/>
              <w:jc w:val="right"/>
            </w:pPr>
            <w:r>
              <w:t xml:space="preserve">138.7</w:t>
            </w:r>
          </w:p>
        </w:tc>
      </w:tr>
      <w:tr>
        <w:tc>
          <w:tcPr/>
          <w:p>
            <w:pPr>
              <w:pStyle w:val="Compact"/>
              <w:jc w:val="left"/>
            </w:pPr>
            <w:r>
              <w:t xml:space="preserve">63100</w:t>
            </w:r>
          </w:p>
        </w:tc>
        <w:tc>
          <w:tcPr/>
          <w:p>
            <w:pPr>
              <w:pStyle w:val="Compact"/>
              <w:jc w:val="left"/>
            </w:pPr>
            <w:r>
              <w:t xml:space="preserve">Kuortane Keskus</w:t>
            </w:r>
          </w:p>
        </w:tc>
        <w:tc>
          <w:tcPr/>
          <w:p>
            <w:pPr>
              <w:pStyle w:val="Compact"/>
              <w:jc w:val="right"/>
            </w:pPr>
            <w:r>
              <w:t xml:space="preserve">100.2</w:t>
            </w:r>
          </w:p>
        </w:tc>
        <w:tc>
          <w:tcPr/>
          <w:p>
            <w:pPr>
              <w:pStyle w:val="Compact"/>
              <w:jc w:val="right"/>
            </w:pPr>
            <w:r>
              <w:t xml:space="preserve">127.1</w:t>
            </w:r>
          </w:p>
        </w:tc>
        <w:tc>
          <w:tcPr/>
          <w:p>
            <w:pPr>
              <w:pStyle w:val="Compact"/>
              <w:jc w:val="right"/>
            </w:pPr>
            <w:r>
              <w:t xml:space="preserve">99.1</w:t>
            </w:r>
          </w:p>
        </w:tc>
        <w:tc>
          <w:tcPr/>
          <w:p>
            <w:pPr>
              <w:pStyle w:val="Compact"/>
              <w:jc w:val="right"/>
            </w:pPr>
            <w:r>
              <w:t xml:space="preserve">56.2</w:t>
            </w:r>
          </w:p>
        </w:tc>
        <w:tc>
          <w:tcPr/>
          <w:p>
            <w:pPr>
              <w:pStyle w:val="Compact"/>
              <w:jc w:val="right"/>
            </w:pPr>
            <w:r>
              <w:t xml:space="preserve">118.1</w:t>
            </w:r>
          </w:p>
        </w:tc>
      </w:tr>
      <w:tr>
        <w:tc>
          <w:tcPr/>
          <w:p>
            <w:pPr>
              <w:pStyle w:val="Compact"/>
              <w:jc w:val="left"/>
            </w:pPr>
            <w:r>
              <w:t xml:space="preserve">63130</w:t>
            </w:r>
          </w:p>
        </w:tc>
        <w:tc>
          <w:tcPr/>
          <w:p>
            <w:pPr>
              <w:pStyle w:val="Compact"/>
              <w:jc w:val="left"/>
            </w:pPr>
            <w:r>
              <w:t xml:space="preserve">Mäyry</w:t>
            </w:r>
          </w:p>
        </w:tc>
        <w:tc>
          <w:tcPr/>
          <w:p>
            <w:pPr>
              <w:pStyle w:val="Compact"/>
              <w:jc w:val="right"/>
            </w:pPr>
            <w:r>
              <w:t xml:space="preserve">87.0</w:t>
            </w:r>
          </w:p>
        </w:tc>
        <w:tc>
          <w:tcPr/>
          <w:p>
            <w:pPr>
              <w:pStyle w:val="Compact"/>
              <w:jc w:val="right"/>
            </w:pPr>
            <w:r>
              <w:t xml:space="preserve">83.5</w:t>
            </w:r>
          </w:p>
        </w:tc>
        <w:tc>
          <w:tcPr/>
          <w:p>
            <w:pPr>
              <w:pStyle w:val="Compact"/>
              <w:jc w:val="right"/>
            </w:pPr>
            <w:r>
              <w:t xml:space="preserve">104.6</w:t>
            </w:r>
          </w:p>
        </w:tc>
        <w:tc>
          <w:tcPr/>
          <w:p>
            <w:pPr>
              <w:pStyle w:val="Compact"/>
              <w:jc w:val="right"/>
            </w:pPr>
            <w:r>
              <w:t xml:space="preserve">65.7</w:t>
            </w:r>
          </w:p>
        </w:tc>
        <w:tc>
          <w:tcPr/>
          <w:p>
            <w:pPr>
              <w:pStyle w:val="Compact"/>
              <w:jc w:val="right"/>
            </w:pPr>
            <w:r>
              <w:t xml:space="preserve">94.1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rtane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rtane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rtane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rtane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Kuortane (Kunnat)</dc:title>
  <dc:creator>Diakin karttasovellus 2022-02-22 21:29:53</dc:creator>
  <cp:keywords/>
  <dcterms:created xsi:type="dcterms:W3CDTF">2022-02-22T19:30:58Z</dcterms:created>
  <dcterms:modified xsi:type="dcterms:W3CDTF">2022-02-22T19:30:58Z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