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22:44:23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22:44:23.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Oulu. Lisäksi tarkastelussa ovat rajanaapurit: Ii, Kempele, Liminka, Muhos, Oulu, Pudasjärvi, Tyrnävä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oul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Ii (naapuri)</w:t>
            </w:r>
          </w:p>
        </w:tc>
        <w:tc>
          <w:tcPr/>
          <w:p>
            <w:pPr>
              <w:pStyle w:val="Compact"/>
              <w:jc w:val="right"/>
            </w:pPr>
            <w:r>
              <w:t xml:space="preserve">93.3</w:t>
            </w:r>
          </w:p>
        </w:tc>
        <w:tc>
          <w:tcPr/>
          <w:p>
            <w:pPr>
              <w:pStyle w:val="Compact"/>
              <w:jc w:val="right"/>
            </w:pPr>
            <w:r>
              <w:t xml:space="preserve">190</w:t>
            </w:r>
          </w:p>
        </w:tc>
      </w:tr>
      <w:tr>
        <w:tc>
          <w:tcPr/>
          <w:p>
            <w:pPr>
              <w:pStyle w:val="Compact"/>
              <w:jc w:val="left"/>
            </w:pPr>
            <w:r>
              <w:t xml:space="preserve">Utajärvi (naapuri)</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Kempele (naapuri)</w:t>
            </w:r>
          </w:p>
        </w:tc>
        <w:tc>
          <w:tcPr/>
          <w:p>
            <w:pPr>
              <w:pStyle w:val="Compact"/>
              <w:jc w:val="right"/>
            </w:pPr>
            <w:r>
              <w:t xml:space="preserve">72.6</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66.7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Utajärvi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Ii (naapuri)</w:t>
            </w:r>
          </w:p>
        </w:tc>
        <w:tc>
          <w:tcPr/>
          <w:p>
            <w:pPr>
              <w:pStyle w:val="Compact"/>
              <w:jc w:val="right"/>
            </w:pPr>
            <w:r>
              <w:t xml:space="preserve">95.2</w:t>
            </w:r>
          </w:p>
        </w:tc>
        <w:tc>
          <w:tcPr/>
          <w:p>
            <w:pPr>
              <w:pStyle w:val="Compact"/>
              <w:jc w:val="right"/>
            </w:pPr>
            <w:r>
              <w:t xml:space="preserve">169</w:t>
            </w:r>
          </w:p>
        </w:tc>
      </w:tr>
      <w:tr>
        <w:tc>
          <w:tcPr/>
          <w:p>
            <w:pPr>
              <w:pStyle w:val="Compact"/>
              <w:jc w:val="left"/>
            </w:pPr>
            <w:r>
              <w:t xml:space="preserve">Kempele (naapuri)</w:t>
            </w:r>
          </w:p>
        </w:tc>
        <w:tc>
          <w:tcPr/>
          <w:p>
            <w:pPr>
              <w:pStyle w:val="Compact"/>
              <w:jc w:val="right"/>
            </w:pPr>
            <w:r>
              <w:t xml:space="preserve">76.3</w:t>
            </w:r>
          </w:p>
        </w:tc>
        <w:tc>
          <w:tcPr/>
          <w:p>
            <w:pPr>
              <w:pStyle w:val="Compact"/>
              <w:jc w:val="right"/>
            </w:pPr>
            <w:r>
              <w:t xml:space="preserve">248</w:t>
            </w:r>
          </w:p>
        </w:tc>
      </w:tr>
      <w:tr>
        <w:tc>
          <w:tcPr/>
          <w:p>
            <w:pPr>
              <w:pStyle w:val="Compact"/>
              <w:jc w:val="left"/>
            </w:pPr>
            <w:r>
              <w:t xml:space="preserve">Tyrnävä (naapuri)</w:t>
            </w:r>
          </w:p>
        </w:tc>
        <w:tc>
          <w:tcPr/>
          <w:p>
            <w:pPr>
              <w:pStyle w:val="Compact"/>
              <w:jc w:val="right"/>
            </w:pPr>
            <w:r>
              <w:t xml:space="preserve">71.2</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Ii (naapuri)</w:t>
            </w:r>
          </w:p>
        </w:tc>
        <w:tc>
          <w:tcPr/>
          <w:p>
            <w:pPr>
              <w:pStyle w:val="Compact"/>
              <w:jc w:val="right"/>
            </w:pPr>
            <w:r>
              <w:t xml:space="preserve">109.0</w:t>
            </w:r>
          </w:p>
        </w:tc>
        <w:tc>
          <w:tcPr/>
          <w:p>
            <w:pPr>
              <w:pStyle w:val="Compact"/>
              <w:jc w:val="right"/>
            </w:pPr>
            <w:r>
              <w:t xml:space="preserve">120</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Utajärvi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Kempele (naapuri)</w:t>
            </w:r>
          </w:p>
        </w:tc>
        <w:tc>
          <w:tcPr/>
          <w:p>
            <w:pPr>
              <w:pStyle w:val="Compact"/>
              <w:jc w:val="right"/>
            </w:pPr>
            <w:r>
              <w:t xml:space="preserve">61.6</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54.2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Utajärvi (naapuri)</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232</w:t>
            </w:r>
          </w:p>
        </w:tc>
      </w:tr>
      <w:tr>
        <w:tc>
          <w:tcPr/>
          <w:p>
            <w:pPr>
              <w:pStyle w:val="Compact"/>
              <w:jc w:val="left"/>
            </w:pPr>
            <w:r>
              <w:t xml:space="preserve">Ii (naapuri)</w:t>
            </w:r>
          </w:p>
        </w:tc>
        <w:tc>
          <w:tcPr/>
          <w:p>
            <w:pPr>
              <w:pStyle w:val="Compact"/>
              <w:jc w:val="right"/>
            </w:pPr>
            <w:r>
              <w:t xml:space="preserve">75.9</w:t>
            </w:r>
          </w:p>
        </w:tc>
        <w:tc>
          <w:tcPr/>
          <w:p>
            <w:pPr>
              <w:pStyle w:val="Compact"/>
              <w:jc w:val="right"/>
            </w:pPr>
            <w:r>
              <w:t xml:space="preserve">243</w:t>
            </w:r>
          </w:p>
        </w:tc>
      </w:tr>
      <w:tr>
        <w:tc>
          <w:tcPr/>
          <w:p>
            <w:pPr>
              <w:pStyle w:val="Compact"/>
              <w:jc w:val="left"/>
            </w:pPr>
            <w:r>
              <w:t xml:space="preserve">Tyrnävä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Ii (naapuri)</w:t>
            </w:r>
          </w:p>
        </w:tc>
        <w:tc>
          <w:tcPr/>
          <w:p>
            <w:pPr>
              <w:pStyle w:val="Compact"/>
              <w:jc w:val="right"/>
            </w:pPr>
            <w:r>
              <w:t xml:space="preserve">98.0</w:t>
            </w:r>
          </w:p>
        </w:tc>
        <w:tc>
          <w:tcPr/>
          <w:p>
            <w:pPr>
              <w:pStyle w:val="Compact"/>
              <w:jc w:val="right"/>
            </w:pPr>
            <w:r>
              <w:t xml:space="preserve">147</w:t>
            </w:r>
          </w:p>
        </w:tc>
      </w:tr>
      <w:tr>
        <w:tc>
          <w:tcPr/>
          <w:p>
            <w:pPr>
              <w:pStyle w:val="Compact"/>
              <w:jc w:val="left"/>
            </w:pPr>
            <w:r>
              <w:t xml:space="preserve">Kempele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Oulu (valittu)</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Tyrnävä (naapuri)</w:t>
            </w:r>
          </w:p>
        </w:tc>
        <w:tc>
          <w:tcPr/>
          <w:p>
            <w:pPr>
              <w:pStyle w:val="Compact"/>
              <w:jc w:val="right"/>
            </w:pPr>
            <w:r>
              <w:t xml:space="preserve">61.7</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Oulu (valittu)</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Kempele (naapuri)</w:t>
            </w:r>
          </w:p>
        </w:tc>
        <w:tc>
          <w:tcPr/>
          <w:p>
            <w:pPr>
              <w:pStyle w:val="Compact"/>
              <w:jc w:val="right"/>
            </w:pPr>
            <w:r>
              <w:t xml:space="preserve">122.8</w:t>
            </w:r>
          </w:p>
        </w:tc>
        <w:tc>
          <w:tcPr/>
          <w:p>
            <w:pPr>
              <w:pStyle w:val="Compact"/>
              <w:jc w:val="right"/>
            </w:pPr>
            <w:r>
              <w:t xml:space="preserve">69</w:t>
            </w:r>
          </w:p>
        </w:tc>
      </w:tr>
      <w:tr>
        <w:tc>
          <w:tcPr/>
          <w:p>
            <w:pPr>
              <w:pStyle w:val="Compact"/>
              <w:jc w:val="left"/>
            </w:pPr>
            <w:r>
              <w:t xml:space="preserve">Ii (naapuri)</w:t>
            </w:r>
          </w:p>
        </w:tc>
        <w:tc>
          <w:tcPr/>
          <w:p>
            <w:pPr>
              <w:pStyle w:val="Compact"/>
              <w:jc w:val="right"/>
            </w:pPr>
            <w:r>
              <w:t xml:space="preserve">111.3</w:t>
            </w:r>
          </w:p>
        </w:tc>
        <w:tc>
          <w:tcPr/>
          <w:p>
            <w:pPr>
              <w:pStyle w:val="Compact"/>
              <w:jc w:val="right"/>
            </w:pPr>
            <w:r>
              <w:t xml:space="preserve">97</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Utajärvi (naapuri)</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Tyrnävä (naapuri)</w:t>
            </w:r>
          </w:p>
        </w:tc>
        <w:tc>
          <w:tcPr/>
          <w:p>
            <w:pPr>
              <w:pStyle w:val="Compact"/>
              <w:jc w:val="right"/>
            </w:pPr>
            <w:r>
              <w:t xml:space="preserve">80.3</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Ii (naapuri)</w:t>
            </w:r>
          </w:p>
        </w:tc>
        <w:tc>
          <w:tcPr/>
          <w:p>
            <w:pPr>
              <w:pStyle w:val="Compact"/>
              <w:jc w:val="right"/>
            </w:pPr>
            <w:r>
              <w:t xml:space="preserve">135.8</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Utajärvi (naapuri)</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Kempele (naapuri)</w:t>
            </w:r>
          </w:p>
        </w:tc>
        <w:tc>
          <w:tcPr/>
          <w:p>
            <w:pPr>
              <w:pStyle w:val="Compact"/>
              <w:jc w:val="right"/>
            </w:pPr>
            <w:r>
              <w:t xml:space="preserve">82.1</w:t>
            </w:r>
          </w:p>
        </w:tc>
        <w:tc>
          <w:tcPr/>
          <w:p>
            <w:pPr>
              <w:pStyle w:val="Compact"/>
              <w:jc w:val="right"/>
            </w:pPr>
            <w:r>
              <w:t xml:space="preserve">190</w:t>
            </w:r>
          </w:p>
        </w:tc>
      </w:tr>
      <w:tr>
        <w:tc>
          <w:tcPr/>
          <w:p>
            <w:pPr>
              <w:pStyle w:val="Compact"/>
              <w:jc w:val="left"/>
            </w:pPr>
            <w:r>
              <w:t xml:space="preserve">Tyrnävä (naapuri)</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93.1</w:t>
            </w:r>
          </w:p>
        </w:tc>
        <w:tc>
          <w:tcPr/>
          <w:p>
            <w:pPr>
              <w:pStyle w:val="Compact"/>
              <w:jc w:val="right"/>
            </w:pPr>
            <w:r>
              <w:t xml:space="preserve">97</w:t>
            </w:r>
          </w:p>
        </w:tc>
      </w:tr>
      <w:tr>
        <w:tc>
          <w:tcPr/>
          <w:p>
            <w:pPr>
              <w:pStyle w:val="Compact"/>
              <w:jc w:val="left"/>
            </w:pPr>
            <w:r>
              <w:t xml:space="preserve">Oulu (valittu)</w:t>
            </w:r>
          </w:p>
        </w:tc>
        <w:tc>
          <w:tcPr/>
          <w:p>
            <w:pPr>
              <w:pStyle w:val="Compact"/>
              <w:jc w:val="right"/>
            </w:pPr>
            <w:r>
              <w:t xml:space="preserve">89.2</w:t>
            </w:r>
          </w:p>
        </w:tc>
        <w:tc>
          <w:tcPr/>
          <w:p>
            <w:pPr>
              <w:pStyle w:val="Compact"/>
              <w:jc w:val="right"/>
            </w:pPr>
            <w:r>
              <w:t xml:space="preserve">110</w:t>
            </w:r>
          </w:p>
        </w:tc>
      </w:tr>
      <w:tr>
        <w:tc>
          <w:tcPr/>
          <w:p>
            <w:pPr>
              <w:pStyle w:val="Compact"/>
              <w:jc w:val="left"/>
            </w:pPr>
            <w:r>
              <w:t xml:space="preserve">Kempele (naapuri)</w:t>
            </w:r>
          </w:p>
        </w:tc>
        <w:tc>
          <w:tcPr/>
          <w:p>
            <w:pPr>
              <w:pStyle w:val="Compact"/>
              <w:jc w:val="right"/>
            </w:pPr>
            <w:r>
              <w:t xml:space="preserve">59.0</w:t>
            </w:r>
          </w:p>
        </w:tc>
        <w:tc>
          <w:tcPr/>
          <w:p>
            <w:pPr>
              <w:pStyle w:val="Compact"/>
              <w:jc w:val="right"/>
            </w:pPr>
            <w:r>
              <w:t xml:space="preserve">141</w:t>
            </w:r>
          </w:p>
        </w:tc>
      </w:tr>
      <w:tr>
        <w:tc>
          <w:tcPr/>
          <w:p>
            <w:pPr>
              <w:pStyle w:val="Compact"/>
              <w:jc w:val="left"/>
            </w:pPr>
            <w:r>
              <w:t xml:space="preserve">Ii (naapuri)</w:t>
            </w:r>
          </w:p>
        </w:tc>
        <w:tc>
          <w:tcPr/>
          <w:p>
            <w:pPr>
              <w:pStyle w:val="Compact"/>
              <w:jc w:val="right"/>
            </w:pPr>
            <w:r>
              <w:t xml:space="preserve">47.2</w:t>
            </w:r>
          </w:p>
        </w:tc>
        <w:tc>
          <w:tcPr/>
          <w:p>
            <w:pPr>
              <w:pStyle w:val="Compact"/>
              <w:jc w:val="right"/>
            </w:pPr>
            <w:r>
              <w:t xml:space="preserve">157</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Ii (naapuri)</w:t>
            </w:r>
          </w:p>
        </w:tc>
        <w:tc>
          <w:tcPr/>
          <w:p>
            <w:pPr>
              <w:pStyle w:val="Compact"/>
              <w:jc w:val="right"/>
            </w:pPr>
            <w:r>
              <w:t xml:space="preserve">83.1</w:t>
            </w:r>
          </w:p>
        </w:tc>
        <w:tc>
          <w:tcPr/>
          <w:p>
            <w:pPr>
              <w:pStyle w:val="Compact"/>
              <w:jc w:val="right"/>
            </w:pPr>
            <w:r>
              <w:t xml:space="preserve">181</w:t>
            </w:r>
          </w:p>
        </w:tc>
      </w:tr>
      <w:tr>
        <w:tc>
          <w:tcPr/>
          <w:p>
            <w:pPr>
              <w:pStyle w:val="Compact"/>
              <w:jc w:val="left"/>
            </w:pPr>
            <w:r>
              <w:t xml:space="preserve">Kempele (naapuri)</w:t>
            </w:r>
          </w:p>
        </w:tc>
        <w:tc>
          <w:tcPr/>
          <w:p>
            <w:pPr>
              <w:pStyle w:val="Compact"/>
              <w:jc w:val="right"/>
            </w:pPr>
            <w:r>
              <w:t xml:space="preserve">53.9</w:t>
            </w:r>
          </w:p>
        </w:tc>
        <w:tc>
          <w:tcPr/>
          <w:p>
            <w:pPr>
              <w:pStyle w:val="Compact"/>
              <w:jc w:val="right"/>
            </w:pPr>
            <w:r>
              <w:t xml:space="preserve">249</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38.2</w:t>
            </w:r>
          </w:p>
        </w:tc>
        <w:tc>
          <w:tcPr/>
          <w:p>
            <w:pPr>
              <w:pStyle w:val="Compact"/>
              <w:jc w:val="right"/>
            </w:pPr>
            <w:r>
              <w:t xml:space="preserve">271</w:t>
            </w:r>
          </w:p>
        </w:tc>
      </w:tr>
      <w:tr>
        <w:tc>
          <w:tcPr/>
          <w:p>
            <w:pPr>
              <w:pStyle w:val="Compact"/>
              <w:jc w:val="left"/>
            </w:pPr>
            <w:r>
              <w:t xml:space="preserve">Utajärvi (naapuri)</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Utajärvi (naapuri)</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Oulu (valittu)</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Tyrnävä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Ii (naapuri)</w:t>
            </w:r>
          </w:p>
        </w:tc>
        <w:tc>
          <w:tcPr/>
          <w:p>
            <w:pPr>
              <w:pStyle w:val="Compact"/>
              <w:jc w:val="right"/>
            </w:pPr>
            <w:r>
              <w:t xml:space="preserve">95.6</w:t>
            </w:r>
          </w:p>
        </w:tc>
        <w:tc>
          <w:tcPr/>
          <w:p>
            <w:pPr>
              <w:pStyle w:val="Compact"/>
              <w:jc w:val="right"/>
            </w:pPr>
            <w:r>
              <w:t xml:space="preserve">161</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Kempele (naapuri)</w:t>
            </w:r>
          </w:p>
        </w:tc>
        <w:tc>
          <w:tcPr/>
          <w:p>
            <w:pPr>
              <w:pStyle w:val="Compact"/>
              <w:jc w:val="right"/>
            </w:pPr>
            <w:r>
              <w:t xml:space="preserve">49.8</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111.5</w:t>
            </w:r>
          </w:p>
        </w:tc>
        <w:tc>
          <w:tcPr/>
          <w:p>
            <w:pPr>
              <w:pStyle w:val="Compact"/>
              <w:jc w:val="right"/>
            </w:pPr>
            <w:r>
              <w:t xml:space="preserve">10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119.4</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95.1</w:t>
            </w:r>
          </w:p>
        </w:tc>
        <w:tc>
          <w:tcPr/>
          <w:p>
            <w:pPr>
              <w:pStyle w:val="Compact"/>
              <w:jc w:val="right"/>
            </w:pPr>
            <w:r>
              <w:t xml:space="preserve">22</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Utajärvi (naapuri)</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Ii (naapuri)</w:t>
            </w:r>
          </w:p>
        </w:tc>
        <w:tc>
          <w:tcPr/>
          <w:p>
            <w:pPr>
              <w:pStyle w:val="Compact"/>
              <w:jc w:val="right"/>
            </w:pPr>
            <w:r>
              <w:t xml:space="preserve">53.5</w:t>
            </w:r>
          </w:p>
        </w:tc>
        <w:tc>
          <w:tcPr/>
          <w:p>
            <w:pPr>
              <w:pStyle w:val="Compact"/>
              <w:jc w:val="right"/>
            </w:pPr>
            <w:r>
              <w:t xml:space="preserve">227</w:t>
            </w:r>
          </w:p>
        </w:tc>
      </w:tr>
      <w:tr>
        <w:tc>
          <w:tcPr/>
          <w:p>
            <w:pPr>
              <w:pStyle w:val="Compact"/>
              <w:jc w:val="left"/>
            </w:pPr>
            <w:r>
              <w:t xml:space="preserve">Kempele (naapuri)</w:t>
            </w:r>
          </w:p>
        </w:tc>
        <w:tc>
          <w:tcPr/>
          <w:p>
            <w:pPr>
              <w:pStyle w:val="Compact"/>
              <w:jc w:val="right"/>
            </w:pPr>
            <w:r>
              <w:t xml:space="preserve">51.2</w:t>
            </w:r>
          </w:p>
        </w:tc>
        <w:tc>
          <w:tcPr/>
          <w:p>
            <w:pPr>
              <w:pStyle w:val="Compact"/>
              <w:jc w:val="right"/>
            </w:pPr>
            <w:r>
              <w:t xml:space="preserve">233</w:t>
            </w:r>
          </w:p>
        </w:tc>
      </w:tr>
      <w:tr>
        <w:tc>
          <w:tcPr/>
          <w:p>
            <w:pPr>
              <w:pStyle w:val="Compact"/>
              <w:jc w:val="left"/>
            </w:pPr>
            <w:r>
              <w:t xml:space="preserve">Tyrnävä (naapuri)</w:t>
            </w:r>
          </w:p>
        </w:tc>
        <w:tc>
          <w:tcPr/>
          <w:p>
            <w:pPr>
              <w:pStyle w:val="Compact"/>
              <w:jc w:val="right"/>
            </w:pPr>
            <w:r>
              <w:t xml:space="preserve">37.2</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Oulu (valittu)</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Ii (naapuri)</w:t>
            </w:r>
          </w:p>
        </w:tc>
        <w:tc>
          <w:tcPr/>
          <w:p>
            <w:pPr>
              <w:pStyle w:val="Compact"/>
              <w:jc w:val="right"/>
            </w:pPr>
            <w:r>
              <w:t xml:space="preserve">102.9</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Tyrnävä (naapuri)</w:t>
            </w:r>
          </w:p>
        </w:tc>
        <w:tc>
          <w:tcPr/>
          <w:p>
            <w:pPr>
              <w:pStyle w:val="Compact"/>
              <w:jc w:val="right"/>
            </w:pPr>
            <w:r>
              <w:t xml:space="preserve">68.2</w:t>
            </w:r>
          </w:p>
        </w:tc>
        <w:tc>
          <w:tcPr/>
          <w:p>
            <w:pPr>
              <w:pStyle w:val="Compact"/>
              <w:jc w:val="right"/>
            </w:pPr>
            <w:r>
              <w:t xml:space="preserve">238</w:t>
            </w:r>
          </w:p>
        </w:tc>
      </w:tr>
      <w:tr>
        <w:tc>
          <w:tcPr/>
          <w:p>
            <w:pPr>
              <w:pStyle w:val="Compact"/>
              <w:jc w:val="left"/>
            </w:pPr>
            <w:r>
              <w:t xml:space="preserve">Kempele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Utajärvi (naapuri)</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180.9</w:t>
            </w:r>
          </w:p>
        </w:tc>
        <w:tc>
          <w:tcPr/>
          <w:p>
            <w:pPr>
              <w:pStyle w:val="Compact"/>
              <w:jc w:val="right"/>
            </w:pPr>
            <w:r>
              <w:t xml:space="preserve">10</w:t>
            </w:r>
          </w:p>
        </w:tc>
      </w:tr>
      <w:tr>
        <w:tc>
          <w:tcPr/>
          <w:p>
            <w:pPr>
              <w:pStyle w:val="Compact"/>
              <w:jc w:val="left"/>
            </w:pPr>
            <w:r>
              <w:t xml:space="preserve">Oulu (valittu)</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Kempele (naapuri)</w:t>
            </w:r>
          </w:p>
        </w:tc>
        <w:tc>
          <w:tcPr/>
          <w:p>
            <w:pPr>
              <w:pStyle w:val="Compact"/>
              <w:jc w:val="right"/>
            </w:pPr>
            <w:r>
              <w:t xml:space="preserve">56.4</w:t>
            </w:r>
          </w:p>
        </w:tc>
        <w:tc>
          <w:tcPr/>
          <w:p>
            <w:pPr>
              <w:pStyle w:val="Compact"/>
              <w:jc w:val="right"/>
            </w:pPr>
            <w:r>
              <w:t xml:space="preserve">256</w:t>
            </w:r>
          </w:p>
        </w:tc>
      </w:tr>
      <w:tr>
        <w:tc>
          <w:tcPr/>
          <w:p>
            <w:pPr>
              <w:pStyle w:val="Compact"/>
              <w:jc w:val="left"/>
            </w:pPr>
            <w:r>
              <w:t xml:space="preserve">Tyrnävä (naapuri)</w:t>
            </w:r>
          </w:p>
        </w:tc>
        <w:tc>
          <w:tcPr/>
          <w:p>
            <w:pPr>
              <w:pStyle w:val="Compact"/>
              <w:jc w:val="right"/>
            </w:pPr>
            <w:r>
              <w:t xml:space="preserve">36.7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Ii (naapuri)</w:t>
            </w:r>
          </w:p>
        </w:tc>
        <w:tc>
          <w:tcPr/>
          <w:p>
            <w:pPr>
              <w:pStyle w:val="Compact"/>
              <w:jc w:val="right"/>
            </w:pPr>
            <w:r>
              <w:t xml:space="preserve">98.6</w:t>
            </w:r>
          </w:p>
        </w:tc>
        <w:tc>
          <w:tcPr/>
          <w:p>
            <w:pPr>
              <w:pStyle w:val="Compact"/>
              <w:jc w:val="right"/>
            </w:pPr>
            <w:r>
              <w:t xml:space="preserve">150</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103.0</w:t>
            </w:r>
          </w:p>
        </w:tc>
        <w:tc>
          <w:tcPr/>
          <w:p>
            <w:pPr>
              <w:pStyle w:val="Compact"/>
              <w:jc w:val="right"/>
            </w:pPr>
            <w:r>
              <w:t xml:space="preserve">14</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113.3</w:t>
            </w:r>
          </w:p>
        </w:tc>
        <w:tc>
          <w:tcPr/>
          <w:p>
            <w:pPr>
              <w:pStyle w:val="Compact"/>
              <w:jc w:val="right"/>
            </w:pPr>
            <w:r>
              <w:t xml:space="preserve">10</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Ii (naapuri)</w:t>
            </w:r>
          </w:p>
        </w:tc>
        <w:tc>
          <w:tcPr/>
          <w:p>
            <w:pPr>
              <w:pStyle w:val="Compact"/>
              <w:jc w:val="right"/>
            </w:pPr>
            <w:r>
              <w:t xml:space="preserve">104.2</w:t>
            </w:r>
          </w:p>
        </w:tc>
        <w:tc>
          <w:tcPr/>
          <w:p>
            <w:pPr>
              <w:pStyle w:val="Compact"/>
              <w:jc w:val="right"/>
            </w:pPr>
            <w:r>
              <w:t xml:space="preserve">138</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Tyrnävä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Kempele (naapuri)</w:t>
            </w:r>
          </w:p>
        </w:tc>
        <w:tc>
          <w:tcPr/>
          <w:p>
            <w:pPr>
              <w:pStyle w:val="Compact"/>
              <w:jc w:val="right"/>
            </w:pPr>
            <w:r>
              <w:t xml:space="preserve">67.7</w:t>
            </w:r>
          </w:p>
        </w:tc>
        <w:tc>
          <w:tcPr/>
          <w:p>
            <w:pPr>
              <w:pStyle w:val="Compact"/>
              <w:jc w:val="right"/>
            </w:pPr>
            <w:r>
              <w:t xml:space="preserve">236</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Utajärvi (naapuri)</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Tyrnävä (naapuri)</w:t>
            </w:r>
          </w:p>
        </w:tc>
        <w:tc>
          <w:tcPr/>
          <w:p>
            <w:pPr>
              <w:pStyle w:val="Compact"/>
              <w:jc w:val="right"/>
            </w:pPr>
            <w:r>
              <w:t xml:space="preserve">87.7</w:t>
            </w:r>
          </w:p>
        </w:tc>
        <w:tc>
          <w:tcPr/>
          <w:p>
            <w:pPr>
              <w:pStyle w:val="Compact"/>
              <w:jc w:val="right"/>
            </w:pPr>
            <w:r>
              <w:t xml:space="preserve">176</w:t>
            </w:r>
          </w:p>
        </w:tc>
      </w:tr>
      <w:tr>
        <w:tc>
          <w:tcPr/>
          <w:p>
            <w:pPr>
              <w:pStyle w:val="Compact"/>
              <w:jc w:val="left"/>
            </w:pPr>
            <w:r>
              <w:t xml:space="preserve">Kempele (naapuri)</w:t>
            </w:r>
          </w:p>
        </w:tc>
        <w:tc>
          <w:tcPr/>
          <w:p>
            <w:pPr>
              <w:pStyle w:val="Compact"/>
              <w:jc w:val="right"/>
            </w:pPr>
            <w:r>
              <w:t xml:space="preserve">80.7</w:t>
            </w:r>
          </w:p>
        </w:tc>
        <w:tc>
          <w:tcPr/>
          <w:p>
            <w:pPr>
              <w:pStyle w:val="Compact"/>
              <w:jc w:val="right"/>
            </w:pPr>
            <w:r>
              <w:t xml:space="preserve">186</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Ii (naapuri)</w:t>
            </w:r>
          </w:p>
        </w:tc>
        <w:tc>
          <w:tcPr/>
          <w:p>
            <w:pPr>
              <w:pStyle w:val="Compact"/>
              <w:jc w:val="right"/>
            </w:pPr>
            <w:r>
              <w:t xml:space="preserve">14.0</w:t>
            </w:r>
          </w:p>
        </w:tc>
        <w:tc>
          <w:tcPr/>
          <w:p>
            <w:pPr>
              <w:pStyle w:val="Compact"/>
              <w:jc w:val="right"/>
            </w:pPr>
            <w:r>
              <w:t xml:space="preserve">282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Kempele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Ii (naapuri)</w:t>
            </w:r>
          </w:p>
        </w:tc>
        <w:tc>
          <w:tcPr/>
          <w:p>
            <w:pPr>
              <w:pStyle w:val="Compact"/>
              <w:jc w:val="right"/>
            </w:pPr>
            <w:r>
              <w:t xml:space="preserve">97.7</w:t>
            </w:r>
          </w:p>
        </w:tc>
        <w:tc>
          <w:tcPr/>
          <w:p>
            <w:pPr>
              <w:pStyle w:val="Compact"/>
              <w:jc w:val="right"/>
            </w:pPr>
            <w:r>
              <w:t xml:space="preserve">158</w:t>
            </w:r>
          </w:p>
        </w:tc>
      </w:tr>
      <w:tr>
        <w:tc>
          <w:tcPr/>
          <w:p>
            <w:pPr>
              <w:pStyle w:val="Compact"/>
              <w:jc w:val="left"/>
            </w:pPr>
            <w:r>
              <w:t xml:space="preserve">Oulu (valittu)</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Tyrnävä (naapuri)</w:t>
            </w:r>
          </w:p>
        </w:tc>
        <w:tc>
          <w:tcPr/>
          <w:p>
            <w:pPr>
              <w:pStyle w:val="Compact"/>
              <w:jc w:val="right"/>
            </w:pPr>
            <w:r>
              <w:t xml:space="preserve">93.0</w:t>
            </w:r>
          </w:p>
        </w:tc>
        <w:tc>
          <w:tcPr/>
          <w:p>
            <w:pPr>
              <w:pStyle w:val="Compact"/>
              <w:jc w:val="right"/>
            </w:pPr>
            <w:r>
              <w:t xml:space="preserve">176</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Utajärvi (naapuri)</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Oulu (valittu)</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Ii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Kempele (naapuri)</w:t>
            </w:r>
          </w:p>
        </w:tc>
        <w:tc>
          <w:tcPr/>
          <w:p>
            <w:pPr>
              <w:pStyle w:val="Compact"/>
              <w:jc w:val="right"/>
            </w:pPr>
            <w:r>
              <w:t xml:space="preserve">61.3</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Oulu (valittu)</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Kempele (naapuri)</w:t>
            </w:r>
          </w:p>
        </w:tc>
        <w:tc>
          <w:tcPr/>
          <w:p>
            <w:pPr>
              <w:pStyle w:val="Compact"/>
              <w:jc w:val="right"/>
            </w:pPr>
            <w:r>
              <w:t xml:space="preserve">91.7</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Tyrnävä (naapuri)</w:t>
            </w:r>
          </w:p>
        </w:tc>
        <w:tc>
          <w:tcPr/>
          <w:p>
            <w:pPr>
              <w:pStyle w:val="Compact"/>
              <w:jc w:val="right"/>
            </w:pPr>
            <w:r>
              <w:t xml:space="preserve">75.0</w:t>
            </w:r>
          </w:p>
        </w:tc>
        <w:tc>
          <w:tcPr/>
          <w:p>
            <w:pPr>
              <w:pStyle w:val="Compact"/>
              <w:jc w:val="right"/>
            </w:pPr>
            <w:r>
              <w:t xml:space="preserve">217</w:t>
            </w:r>
          </w:p>
        </w:tc>
      </w:tr>
      <w:tr>
        <w:tc>
          <w:tcPr/>
          <w:p>
            <w:pPr>
              <w:pStyle w:val="Compact"/>
              <w:jc w:val="left"/>
            </w:pPr>
            <w:r>
              <w:t xml:space="preserve">Ii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Utajärvi (naapuri)</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138.1</w:t>
            </w:r>
          </w:p>
        </w:tc>
        <w:tc>
          <w:tcPr/>
          <w:p>
            <w:pPr>
              <w:pStyle w:val="Compact"/>
              <w:jc w:val="right"/>
            </w:pPr>
            <w:r>
              <w:t xml:space="preserve">202.9</w:t>
            </w:r>
          </w:p>
        </w:tc>
        <w:tc>
          <w:tcPr/>
          <w:p>
            <w:pPr>
              <w:pStyle w:val="Compact"/>
              <w:jc w:val="right"/>
            </w:pPr>
            <w:r>
              <w:t xml:space="preserve">184.3</w:t>
            </w:r>
          </w:p>
        </w:tc>
        <w:tc>
          <w:tcPr/>
          <w:p>
            <w:pPr>
              <w:pStyle w:val="Compact"/>
              <w:jc w:val="right"/>
            </w:pPr>
            <w:r>
              <w:t xml:space="preserve">107.4</w:t>
            </w:r>
          </w:p>
        </w:tc>
        <w:tc>
          <w:tcPr/>
          <w:p>
            <w:pPr>
              <w:pStyle w:val="Compact"/>
              <w:jc w:val="right"/>
            </w:pPr>
            <w:r>
              <w:t xml:space="preserve">57.9</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137.9</w:t>
            </w:r>
          </w:p>
        </w:tc>
        <w:tc>
          <w:tcPr/>
          <w:p>
            <w:pPr>
              <w:pStyle w:val="Compact"/>
              <w:jc w:val="right"/>
            </w:pPr>
            <w:r>
              <w:t xml:space="preserve">127.4</w:t>
            </w:r>
          </w:p>
        </w:tc>
        <w:tc>
          <w:tcPr/>
          <w:p>
            <w:pPr>
              <w:pStyle w:val="Compact"/>
              <w:jc w:val="right"/>
            </w:pPr>
            <w:r>
              <w:t xml:space="preserve">125.5</w:t>
            </w:r>
          </w:p>
        </w:tc>
        <w:tc>
          <w:tcPr/>
          <w:p>
            <w:pPr>
              <w:pStyle w:val="Compact"/>
              <w:jc w:val="right"/>
            </w:pPr>
            <w:r>
              <w:t xml:space="preserve">175.6</w:t>
            </w:r>
          </w:p>
        </w:tc>
        <w:tc>
          <w:tcPr/>
          <w:p>
            <w:pPr>
              <w:pStyle w:val="Compact"/>
              <w:jc w:val="right"/>
            </w:pPr>
            <w:r>
              <w:t xml:space="preserve">123.0</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137.7</w:t>
            </w:r>
          </w:p>
        </w:tc>
        <w:tc>
          <w:tcPr/>
          <w:p>
            <w:pPr>
              <w:pStyle w:val="Compact"/>
              <w:jc w:val="right"/>
            </w:pPr>
            <w:r>
              <w:t xml:space="preserve">210.3</w:t>
            </w:r>
          </w:p>
        </w:tc>
        <w:tc>
          <w:tcPr/>
          <w:p>
            <w:pPr>
              <w:pStyle w:val="Compact"/>
              <w:jc w:val="right"/>
            </w:pPr>
            <w:r>
              <w:t xml:space="preserve">183.4</w:t>
            </w:r>
          </w:p>
        </w:tc>
        <w:tc>
          <w:tcPr/>
          <w:p>
            <w:pPr>
              <w:pStyle w:val="Compact"/>
              <w:jc w:val="right"/>
            </w:pPr>
            <w:r>
              <w:t xml:space="preserve">91.4</w:t>
            </w:r>
          </w:p>
        </w:tc>
        <w:tc>
          <w:tcPr/>
          <w:p>
            <w:pPr>
              <w:pStyle w:val="Compact"/>
              <w:jc w:val="right"/>
            </w:pPr>
            <w:r>
              <w:t xml:space="preserve">65.8</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137.0</w:t>
            </w:r>
          </w:p>
        </w:tc>
        <w:tc>
          <w:tcPr/>
          <w:p>
            <w:pPr>
              <w:pStyle w:val="Compact"/>
              <w:jc w:val="right"/>
            </w:pPr>
            <w:r>
              <w:t xml:space="preserve">168.8</w:t>
            </w:r>
          </w:p>
        </w:tc>
        <w:tc>
          <w:tcPr/>
          <w:p>
            <w:pPr>
              <w:pStyle w:val="Compact"/>
              <w:jc w:val="right"/>
            </w:pPr>
            <w:r>
              <w:t xml:space="preserve">121.4</w:t>
            </w:r>
          </w:p>
        </w:tc>
        <w:tc>
          <w:tcPr/>
          <w:p>
            <w:pPr>
              <w:pStyle w:val="Compact"/>
              <w:jc w:val="right"/>
            </w:pPr>
            <w:r>
              <w:t xml:space="preserve">175.2</w:t>
            </w:r>
          </w:p>
        </w:tc>
        <w:tc>
          <w:tcPr/>
          <w:p>
            <w:pPr>
              <w:pStyle w:val="Compact"/>
              <w:jc w:val="right"/>
            </w:pPr>
            <w:r>
              <w:t xml:space="preserve">82.5</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135.9</w:t>
            </w:r>
          </w:p>
        </w:tc>
        <w:tc>
          <w:tcPr/>
          <w:p>
            <w:pPr>
              <w:pStyle w:val="Compact"/>
              <w:jc w:val="right"/>
            </w:pPr>
            <w:r>
              <w:t xml:space="preserve">159.2</w:t>
            </w:r>
          </w:p>
        </w:tc>
        <w:tc>
          <w:tcPr/>
          <w:p>
            <w:pPr>
              <w:pStyle w:val="Compact"/>
              <w:jc w:val="right"/>
            </w:pPr>
            <w:r>
              <w:t xml:space="preserve">121.2</w:t>
            </w:r>
          </w:p>
        </w:tc>
        <w:tc>
          <w:tcPr/>
          <w:p>
            <w:pPr>
              <w:pStyle w:val="Compact"/>
              <w:jc w:val="right"/>
            </w:pPr>
            <w:r>
              <w:t xml:space="preserve">182.8</w:t>
            </w:r>
          </w:p>
        </w:tc>
        <w:tc>
          <w:tcPr/>
          <w:p>
            <w:pPr>
              <w:pStyle w:val="Compact"/>
              <w:jc w:val="right"/>
            </w:pPr>
            <w:r>
              <w:t xml:space="preserve">80.3</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134.6</w:t>
            </w:r>
          </w:p>
        </w:tc>
        <w:tc>
          <w:tcPr/>
          <w:p>
            <w:pPr>
              <w:pStyle w:val="Compact"/>
              <w:jc w:val="right"/>
            </w:pPr>
            <w:r>
              <w:t xml:space="preserve">173.0</w:t>
            </w:r>
          </w:p>
        </w:tc>
        <w:tc>
          <w:tcPr/>
          <w:p>
            <w:pPr>
              <w:pStyle w:val="Compact"/>
              <w:jc w:val="right"/>
            </w:pPr>
            <w:r>
              <w:t xml:space="preserve">141.1</w:t>
            </w:r>
          </w:p>
        </w:tc>
        <w:tc>
          <w:tcPr/>
          <w:p>
            <w:pPr>
              <w:pStyle w:val="Compact"/>
              <w:jc w:val="right"/>
            </w:pPr>
            <w:r>
              <w:t xml:space="preserve">157.0</w:t>
            </w:r>
          </w:p>
        </w:tc>
        <w:tc>
          <w:tcPr/>
          <w:p>
            <w:pPr>
              <w:pStyle w:val="Compact"/>
              <w:jc w:val="right"/>
            </w:pPr>
            <w:r>
              <w:t xml:space="preserve">67.5</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129.8</w:t>
            </w:r>
          </w:p>
        </w:tc>
        <w:tc>
          <w:tcPr/>
          <w:p>
            <w:pPr>
              <w:pStyle w:val="Compact"/>
              <w:jc w:val="right"/>
            </w:pPr>
            <w:r>
              <w:t xml:space="preserve">101.9</w:t>
            </w:r>
          </w:p>
        </w:tc>
        <w:tc>
          <w:tcPr/>
          <w:p>
            <w:pPr>
              <w:pStyle w:val="Compact"/>
              <w:jc w:val="right"/>
            </w:pPr>
            <w:r>
              <w:t xml:space="preserve">97.3</w:t>
            </w:r>
          </w:p>
        </w:tc>
        <w:tc>
          <w:tcPr/>
          <w:p>
            <w:pPr>
              <w:pStyle w:val="Compact"/>
              <w:jc w:val="right"/>
            </w:pPr>
            <w:r>
              <w:t xml:space="preserve">221.6</w:t>
            </w:r>
          </w:p>
        </w:tc>
        <w:tc>
          <w:tcPr/>
          <w:p>
            <w:pPr>
              <w:pStyle w:val="Compact"/>
              <w:jc w:val="right"/>
            </w:pPr>
            <w:r>
              <w:t xml:space="preserve">98.3</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128.9</w:t>
            </w:r>
          </w:p>
        </w:tc>
        <w:tc>
          <w:tcPr/>
          <w:p>
            <w:pPr>
              <w:pStyle w:val="Compact"/>
              <w:jc w:val="right"/>
            </w:pPr>
            <w:r>
              <w:t xml:space="preserve">137.6</w:t>
            </w:r>
          </w:p>
        </w:tc>
        <w:tc>
          <w:tcPr/>
          <w:p>
            <w:pPr>
              <w:pStyle w:val="Compact"/>
              <w:jc w:val="right"/>
            </w:pPr>
            <w:r>
              <w:t xml:space="preserve">109.2</w:t>
            </w:r>
          </w:p>
        </w:tc>
        <w:tc>
          <w:tcPr/>
          <w:p>
            <w:pPr>
              <w:pStyle w:val="Compact"/>
              <w:jc w:val="right"/>
            </w:pPr>
            <w:r>
              <w:t xml:space="preserve">180.1</w:t>
            </w:r>
          </w:p>
        </w:tc>
        <w:tc>
          <w:tcPr/>
          <w:p>
            <w:pPr>
              <w:pStyle w:val="Compact"/>
              <w:jc w:val="right"/>
            </w:pPr>
            <w:r>
              <w:t xml:space="preserve">88.6</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119.3</w:t>
            </w:r>
          </w:p>
        </w:tc>
        <w:tc>
          <w:tcPr/>
          <w:p>
            <w:pPr>
              <w:pStyle w:val="Compact"/>
              <w:jc w:val="right"/>
            </w:pPr>
            <w:r>
              <w:t xml:space="preserve">129.1</w:t>
            </w:r>
          </w:p>
        </w:tc>
        <w:tc>
          <w:tcPr/>
          <w:p>
            <w:pPr>
              <w:pStyle w:val="Compact"/>
              <w:jc w:val="right"/>
            </w:pPr>
            <w:r>
              <w:t xml:space="preserve">101.6</w:t>
            </w:r>
          </w:p>
        </w:tc>
        <w:tc>
          <w:tcPr/>
          <w:p>
            <w:pPr>
              <w:pStyle w:val="Compact"/>
              <w:jc w:val="right"/>
            </w:pPr>
            <w:r>
              <w:t xml:space="preserve">164.0</w:t>
            </w:r>
          </w:p>
        </w:tc>
        <w:tc>
          <w:tcPr/>
          <w:p>
            <w:pPr>
              <w:pStyle w:val="Compact"/>
              <w:jc w:val="right"/>
            </w:pPr>
            <w:r>
              <w:t xml:space="preserve">82.4</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119.0</w:t>
            </w:r>
          </w:p>
        </w:tc>
        <w:tc>
          <w:tcPr/>
          <w:p>
            <w:pPr>
              <w:pStyle w:val="Compact"/>
              <w:jc w:val="right"/>
            </w:pPr>
            <w:r>
              <w:t xml:space="preserve">122.0</w:t>
            </w:r>
          </w:p>
        </w:tc>
        <w:tc>
          <w:tcPr/>
          <w:p>
            <w:pPr>
              <w:pStyle w:val="Compact"/>
              <w:jc w:val="right"/>
            </w:pPr>
            <w:r>
              <w:t xml:space="preserve">113.0</w:t>
            </w:r>
          </w:p>
        </w:tc>
        <w:tc>
          <w:tcPr/>
          <w:p>
            <w:pPr>
              <w:pStyle w:val="Compact"/>
              <w:jc w:val="right"/>
            </w:pPr>
            <w:r>
              <w:t xml:space="preserve">138.3</w:t>
            </w:r>
          </w:p>
        </w:tc>
        <w:tc>
          <w:tcPr/>
          <w:p>
            <w:pPr>
              <w:pStyle w:val="Compact"/>
              <w:jc w:val="right"/>
            </w:pPr>
            <w:r>
              <w:t xml:space="preserve">102.5</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117.5</w:t>
            </w:r>
          </w:p>
        </w:tc>
        <w:tc>
          <w:tcPr/>
          <w:p>
            <w:pPr>
              <w:pStyle w:val="Compact"/>
              <w:jc w:val="right"/>
            </w:pPr>
            <w:r>
              <w:t xml:space="preserve">145.9</w:t>
            </w:r>
          </w:p>
        </w:tc>
        <w:tc>
          <w:tcPr/>
          <w:p>
            <w:pPr>
              <w:pStyle w:val="Compact"/>
              <w:jc w:val="right"/>
            </w:pPr>
            <w:r>
              <w:t xml:space="preserve">118.5</w:t>
            </w:r>
          </w:p>
        </w:tc>
        <w:tc>
          <w:tcPr/>
          <w:p>
            <w:pPr>
              <w:pStyle w:val="Compact"/>
              <w:jc w:val="right"/>
            </w:pPr>
            <w:r>
              <w:t xml:space="preserve">144.2</w:t>
            </w:r>
          </w:p>
        </w:tc>
        <w:tc>
          <w:tcPr/>
          <w:p>
            <w:pPr>
              <w:pStyle w:val="Compact"/>
              <w:jc w:val="right"/>
            </w:pPr>
            <w:r>
              <w:t xml:space="preserve">61.3</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115.5</w:t>
            </w:r>
          </w:p>
        </w:tc>
        <w:tc>
          <w:tcPr/>
          <w:p>
            <w:pPr>
              <w:pStyle w:val="Compact"/>
              <w:jc w:val="right"/>
            </w:pPr>
            <w:r>
              <w:t xml:space="preserve">115.6</w:t>
            </w:r>
          </w:p>
        </w:tc>
        <w:tc>
          <w:tcPr/>
          <w:p>
            <w:pPr>
              <w:pStyle w:val="Compact"/>
              <w:jc w:val="right"/>
            </w:pPr>
            <w:r>
              <w:t xml:space="preserve">99.3</w:t>
            </w:r>
          </w:p>
        </w:tc>
        <w:tc>
          <w:tcPr/>
          <w:p>
            <w:pPr>
              <w:pStyle w:val="Compact"/>
              <w:jc w:val="right"/>
            </w:pPr>
            <w:r>
              <w:t xml:space="preserve">141.8</w:t>
            </w:r>
          </w:p>
        </w:tc>
        <w:tc>
          <w:tcPr/>
          <w:p>
            <w:pPr>
              <w:pStyle w:val="Compact"/>
              <w:jc w:val="right"/>
            </w:pPr>
            <w:r>
              <w:t xml:space="preserve">105.5</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111.1</w:t>
            </w:r>
          </w:p>
        </w:tc>
        <w:tc>
          <w:tcPr/>
          <w:p>
            <w:pPr>
              <w:pStyle w:val="Compact"/>
              <w:jc w:val="right"/>
            </w:pPr>
            <w:r>
              <w:t xml:space="preserve">136.9</w:t>
            </w:r>
          </w:p>
        </w:tc>
        <w:tc>
          <w:tcPr/>
          <w:p>
            <w:pPr>
              <w:pStyle w:val="Compact"/>
              <w:jc w:val="right"/>
            </w:pPr>
            <w:r>
              <w:t xml:space="preserve">107.6</w:t>
            </w:r>
          </w:p>
        </w:tc>
        <w:tc>
          <w:tcPr/>
          <w:p>
            <w:pPr>
              <w:pStyle w:val="Compact"/>
              <w:jc w:val="right"/>
            </w:pPr>
            <w:r>
              <w:t xml:space="preserve">135.7</w:t>
            </w:r>
          </w:p>
        </w:tc>
        <w:tc>
          <w:tcPr/>
          <w:p>
            <w:pPr>
              <w:pStyle w:val="Compact"/>
              <w:jc w:val="right"/>
            </w:pPr>
            <w:r>
              <w:t xml:space="preserve">64.4</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108.0</w:t>
            </w:r>
          </w:p>
        </w:tc>
        <w:tc>
          <w:tcPr/>
          <w:p>
            <w:pPr>
              <w:pStyle w:val="Compact"/>
              <w:jc w:val="right"/>
            </w:pPr>
            <w:r>
              <w:t xml:space="preserve">137.2</w:t>
            </w:r>
          </w:p>
        </w:tc>
        <w:tc>
          <w:tcPr/>
          <w:p>
            <w:pPr>
              <w:pStyle w:val="Compact"/>
              <w:jc w:val="right"/>
            </w:pPr>
            <w:r>
              <w:t xml:space="preserve">111.5</w:t>
            </w:r>
          </w:p>
        </w:tc>
        <w:tc>
          <w:tcPr/>
          <w:p>
            <w:pPr>
              <w:pStyle w:val="Compact"/>
              <w:jc w:val="right"/>
            </w:pPr>
            <w:r>
              <w:t xml:space="preserve">120.9</w:t>
            </w:r>
          </w:p>
        </w:tc>
        <w:tc>
          <w:tcPr/>
          <w:p>
            <w:pPr>
              <w:pStyle w:val="Compact"/>
              <w:jc w:val="right"/>
            </w:pPr>
            <w:r>
              <w:t xml:space="preserve">62.6</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106.8</w:t>
            </w:r>
          </w:p>
        </w:tc>
        <w:tc>
          <w:tcPr/>
          <w:p>
            <w:pPr>
              <w:pStyle w:val="Compact"/>
              <w:jc w:val="right"/>
            </w:pPr>
            <w:r>
              <w:t xml:space="preserve">125.9</w:t>
            </w:r>
          </w:p>
        </w:tc>
        <w:tc>
          <w:tcPr/>
          <w:p>
            <w:pPr>
              <w:pStyle w:val="Compact"/>
              <w:jc w:val="right"/>
            </w:pPr>
            <w:r>
              <w:t xml:space="preserve">105.5</w:t>
            </w:r>
          </w:p>
        </w:tc>
        <w:tc>
          <w:tcPr/>
          <w:p>
            <w:pPr>
              <w:pStyle w:val="Compact"/>
              <w:jc w:val="right"/>
            </w:pPr>
            <w:r>
              <w:t xml:space="preserve">125.3</w:t>
            </w:r>
          </w:p>
        </w:tc>
        <w:tc>
          <w:tcPr/>
          <w:p>
            <w:pPr>
              <w:pStyle w:val="Compact"/>
              <w:jc w:val="right"/>
            </w:pPr>
            <w:r>
              <w:t xml:space="preserve">70.6</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106.8</w:t>
            </w:r>
          </w:p>
        </w:tc>
        <w:tc>
          <w:tcPr/>
          <w:p>
            <w:pPr>
              <w:pStyle w:val="Compact"/>
              <w:jc w:val="right"/>
            </w:pPr>
            <w:r>
              <w:t xml:space="preserve">87.0</w:t>
            </w:r>
          </w:p>
        </w:tc>
        <w:tc>
          <w:tcPr/>
          <w:p>
            <w:pPr>
              <w:pStyle w:val="Compact"/>
              <w:jc w:val="right"/>
            </w:pPr>
            <w:r>
              <w:t xml:space="preserve">100.7</w:t>
            </w:r>
          </w:p>
        </w:tc>
        <w:tc>
          <w:tcPr/>
          <w:p>
            <w:pPr>
              <w:pStyle w:val="Compact"/>
              <w:jc w:val="right"/>
            </w:pPr>
            <w:r>
              <w:t xml:space="preserve">152.0</w:t>
            </w:r>
          </w:p>
        </w:tc>
        <w:tc>
          <w:tcPr/>
          <w:p>
            <w:pPr>
              <w:pStyle w:val="Compact"/>
              <w:jc w:val="right"/>
            </w:pPr>
            <w:r>
              <w:t xml:space="preserve">87.5</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102.2</w:t>
            </w:r>
          </w:p>
        </w:tc>
        <w:tc>
          <w:tcPr/>
          <w:p>
            <w:pPr>
              <w:pStyle w:val="Compact"/>
              <w:jc w:val="right"/>
            </w:pPr>
            <w:r>
              <w:t xml:space="preserve">133.6</w:t>
            </w:r>
          </w:p>
        </w:tc>
        <w:tc>
          <w:tcPr/>
          <w:p>
            <w:pPr>
              <w:pStyle w:val="Compact"/>
              <w:jc w:val="right"/>
            </w:pPr>
            <w:r>
              <w:t xml:space="preserve">115.0</w:t>
            </w:r>
          </w:p>
        </w:tc>
        <w:tc>
          <w:tcPr/>
          <w:p>
            <w:pPr>
              <w:pStyle w:val="Compact"/>
              <w:jc w:val="right"/>
            </w:pPr>
            <w:r>
              <w:t xml:space="preserve">104.7</w:t>
            </w:r>
          </w:p>
        </w:tc>
        <w:tc>
          <w:tcPr/>
          <w:p>
            <w:pPr>
              <w:pStyle w:val="Compact"/>
              <w:jc w:val="right"/>
            </w:pPr>
            <w:r>
              <w:t xml:space="preserve">55.6</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100.7</w:t>
            </w:r>
          </w:p>
        </w:tc>
        <w:tc>
          <w:tcPr/>
          <w:p>
            <w:pPr>
              <w:pStyle w:val="Compact"/>
              <w:jc w:val="right"/>
            </w:pPr>
            <w:r>
              <w:t xml:space="preserve">143.5</w:t>
            </w:r>
          </w:p>
        </w:tc>
        <w:tc>
          <w:tcPr/>
          <w:p>
            <w:pPr>
              <w:pStyle w:val="Compact"/>
              <w:jc w:val="right"/>
            </w:pPr>
            <w:r>
              <w:t xml:space="preserve">117.3</w:t>
            </w:r>
          </w:p>
        </w:tc>
        <w:tc>
          <w:tcPr/>
          <w:p>
            <w:pPr>
              <w:pStyle w:val="Compact"/>
              <w:jc w:val="right"/>
            </w:pPr>
            <w:r>
              <w:t xml:space="preserve">91.9</w:t>
            </w:r>
          </w:p>
        </w:tc>
        <w:tc>
          <w:tcPr/>
          <w:p>
            <w:pPr>
              <w:pStyle w:val="Compact"/>
              <w:jc w:val="right"/>
            </w:pPr>
            <w:r>
              <w:t xml:space="preserve">50.2</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95.5</w:t>
            </w:r>
          </w:p>
        </w:tc>
        <w:tc>
          <w:tcPr/>
          <w:p>
            <w:pPr>
              <w:pStyle w:val="Compact"/>
              <w:jc w:val="right"/>
            </w:pPr>
            <w:r>
              <w:t xml:space="preserve">87.1</w:t>
            </w:r>
          </w:p>
        </w:tc>
        <w:tc>
          <w:tcPr/>
          <w:p>
            <w:pPr>
              <w:pStyle w:val="Compact"/>
              <w:jc w:val="right"/>
            </w:pPr>
            <w:r>
              <w:t xml:space="preserve">85.8</w:t>
            </w:r>
          </w:p>
        </w:tc>
        <w:tc>
          <w:tcPr/>
          <w:p>
            <w:pPr>
              <w:pStyle w:val="Compact"/>
              <w:jc w:val="right"/>
            </w:pPr>
            <w:r>
              <w:t xml:space="preserve">138.7</w:t>
            </w:r>
          </w:p>
        </w:tc>
        <w:tc>
          <w:tcPr/>
          <w:p>
            <w:pPr>
              <w:pStyle w:val="Compact"/>
              <w:jc w:val="right"/>
            </w:pPr>
            <w:r>
              <w:t xml:space="preserve">70.3</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94.2</w:t>
            </w:r>
          </w:p>
        </w:tc>
        <w:tc>
          <w:tcPr/>
          <w:p>
            <w:pPr>
              <w:pStyle w:val="Compact"/>
              <w:jc w:val="right"/>
            </w:pPr>
            <w:r>
              <w:t xml:space="preserve">110.2</w:t>
            </w:r>
          </w:p>
        </w:tc>
        <w:tc>
          <w:tcPr/>
          <w:p>
            <w:pPr>
              <w:pStyle w:val="Compact"/>
              <w:jc w:val="right"/>
            </w:pPr>
            <w:r>
              <w:t xml:space="preserve">93.0</w:t>
            </w:r>
          </w:p>
        </w:tc>
        <w:tc>
          <w:tcPr/>
          <w:p>
            <w:pPr>
              <w:pStyle w:val="Compact"/>
              <w:jc w:val="right"/>
            </w:pPr>
            <w:r>
              <w:t xml:space="preserve">109.5</w:t>
            </w:r>
          </w:p>
        </w:tc>
        <w:tc>
          <w:tcPr/>
          <w:p>
            <w:pPr>
              <w:pStyle w:val="Compact"/>
              <w:jc w:val="right"/>
            </w:pPr>
            <w:r>
              <w:t xml:space="preserve">64.0</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93.9</w:t>
            </w:r>
          </w:p>
        </w:tc>
        <w:tc>
          <w:tcPr/>
          <w:p>
            <w:pPr>
              <w:pStyle w:val="Compact"/>
              <w:jc w:val="right"/>
            </w:pPr>
            <w:r>
              <w:t xml:space="preserve">84.3</w:t>
            </w:r>
          </w:p>
        </w:tc>
        <w:tc>
          <w:tcPr/>
          <w:p>
            <w:pPr>
              <w:pStyle w:val="Compact"/>
              <w:jc w:val="right"/>
            </w:pPr>
            <w:r>
              <w:t xml:space="preserve">84.7</w:t>
            </w:r>
          </w:p>
        </w:tc>
        <w:tc>
          <w:tcPr/>
          <w:p>
            <w:pPr>
              <w:pStyle w:val="Compact"/>
              <w:jc w:val="right"/>
            </w:pPr>
            <w:r>
              <w:t xml:space="preserve">112.2</w:t>
            </w:r>
          </w:p>
        </w:tc>
        <w:tc>
          <w:tcPr/>
          <w:p>
            <w:pPr>
              <w:pStyle w:val="Compact"/>
              <w:jc w:val="right"/>
            </w:pPr>
            <w:r>
              <w:t xml:space="preserve">94.6</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91.7</w:t>
            </w:r>
          </w:p>
        </w:tc>
        <w:tc>
          <w:tcPr/>
          <w:p>
            <w:pPr>
              <w:pStyle w:val="Compact"/>
              <w:jc w:val="right"/>
            </w:pPr>
            <w:r>
              <w:t xml:space="preserve">107.8</w:t>
            </w:r>
          </w:p>
        </w:tc>
        <w:tc>
          <w:tcPr/>
          <w:p>
            <w:pPr>
              <w:pStyle w:val="Compact"/>
              <w:jc w:val="right"/>
            </w:pPr>
            <w:r>
              <w:t xml:space="preserve">92.1</w:t>
            </w:r>
          </w:p>
        </w:tc>
        <w:tc>
          <w:tcPr/>
          <w:p>
            <w:pPr>
              <w:pStyle w:val="Compact"/>
              <w:jc w:val="right"/>
            </w:pPr>
            <w:r>
              <w:t xml:space="preserve">100.5</w:t>
            </w:r>
          </w:p>
        </w:tc>
        <w:tc>
          <w:tcPr/>
          <w:p>
            <w:pPr>
              <w:pStyle w:val="Compact"/>
              <w:jc w:val="right"/>
            </w:pPr>
            <w:r>
              <w:t xml:space="preserve">66.3</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89.3</w:t>
            </w:r>
          </w:p>
        </w:tc>
        <w:tc>
          <w:tcPr/>
          <w:p>
            <w:pPr>
              <w:pStyle w:val="Compact"/>
              <w:jc w:val="right"/>
            </w:pPr>
            <w:r>
              <w:t xml:space="preserve">92.0</w:t>
            </w:r>
          </w:p>
        </w:tc>
        <w:tc>
          <w:tcPr/>
          <w:p>
            <w:pPr>
              <w:pStyle w:val="Compact"/>
              <w:jc w:val="right"/>
            </w:pPr>
            <w:r>
              <w:t xml:space="preserve">74.2</w:t>
            </w:r>
          </w:p>
        </w:tc>
        <w:tc>
          <w:tcPr/>
          <w:p>
            <w:pPr>
              <w:pStyle w:val="Compact"/>
              <w:jc w:val="right"/>
            </w:pPr>
            <w:r>
              <w:t xml:space="preserve">118.1</w:t>
            </w:r>
          </w:p>
        </w:tc>
        <w:tc>
          <w:tcPr/>
          <w:p>
            <w:pPr>
              <w:pStyle w:val="Compact"/>
              <w:jc w:val="right"/>
            </w:pPr>
            <w:r>
              <w:t xml:space="preserve">73.0</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86.3</w:t>
            </w:r>
          </w:p>
        </w:tc>
        <w:tc>
          <w:tcPr/>
          <w:p>
            <w:pPr>
              <w:pStyle w:val="Compact"/>
              <w:jc w:val="right"/>
            </w:pPr>
            <w:r>
              <w:t xml:space="preserve">96.9</w:t>
            </w:r>
          </w:p>
        </w:tc>
        <w:tc>
          <w:tcPr/>
          <w:p>
            <w:pPr>
              <w:pStyle w:val="Compact"/>
              <w:jc w:val="right"/>
            </w:pPr>
            <w:r>
              <w:t xml:space="preserve">80.0</w:t>
            </w:r>
          </w:p>
        </w:tc>
        <w:tc>
          <w:tcPr/>
          <w:p>
            <w:pPr>
              <w:pStyle w:val="Compact"/>
              <w:jc w:val="right"/>
            </w:pPr>
            <w:r>
              <w:t xml:space="preserve">114.8</w:t>
            </w:r>
          </w:p>
        </w:tc>
        <w:tc>
          <w:tcPr/>
          <w:p>
            <w:pPr>
              <w:pStyle w:val="Compact"/>
              <w:jc w:val="right"/>
            </w:pPr>
            <w:r>
              <w:t xml:space="preserve">53.6</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85.1</w:t>
            </w:r>
          </w:p>
        </w:tc>
        <w:tc>
          <w:tcPr/>
          <w:p>
            <w:pPr>
              <w:pStyle w:val="Compact"/>
              <w:jc w:val="right"/>
            </w:pPr>
            <w:r>
              <w:t xml:space="preserve">63.3</w:t>
            </w:r>
          </w:p>
        </w:tc>
        <w:tc>
          <w:tcPr/>
          <w:p>
            <w:pPr>
              <w:pStyle w:val="Compact"/>
              <w:jc w:val="right"/>
            </w:pPr>
            <w:r>
              <w:t xml:space="preserve">83.1</w:t>
            </w:r>
          </w:p>
        </w:tc>
        <w:tc>
          <w:tcPr/>
          <w:p>
            <w:pPr>
              <w:pStyle w:val="Compact"/>
              <w:jc w:val="right"/>
            </w:pPr>
            <w:r>
              <w:t xml:space="preserve">115.5</w:t>
            </w:r>
          </w:p>
        </w:tc>
        <w:tc>
          <w:tcPr/>
          <w:p>
            <w:pPr>
              <w:pStyle w:val="Compact"/>
              <w:jc w:val="right"/>
            </w:pPr>
            <w:r>
              <w:t xml:space="preserve">78.4</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83.9</w:t>
            </w:r>
          </w:p>
        </w:tc>
        <w:tc>
          <w:tcPr/>
          <w:p>
            <w:pPr>
              <w:pStyle w:val="Compact"/>
              <w:jc w:val="right"/>
            </w:pPr>
            <w:r>
              <w:t xml:space="preserve">75.7</w:t>
            </w:r>
          </w:p>
        </w:tc>
        <w:tc>
          <w:tcPr/>
          <w:p>
            <w:pPr>
              <w:pStyle w:val="Compact"/>
              <w:jc w:val="right"/>
            </w:pPr>
            <w:r>
              <w:t xml:space="preserve">83.0</w:t>
            </w:r>
          </w:p>
        </w:tc>
        <w:tc>
          <w:tcPr/>
          <w:p>
            <w:pPr>
              <w:pStyle w:val="Compact"/>
              <w:jc w:val="right"/>
            </w:pPr>
            <w:r>
              <w:t xml:space="preserve">109.0</w:t>
            </w:r>
          </w:p>
        </w:tc>
        <w:tc>
          <w:tcPr/>
          <w:p>
            <w:pPr>
              <w:pStyle w:val="Compact"/>
              <w:jc w:val="right"/>
            </w:pPr>
            <w:r>
              <w:t xml:space="preserve">67.8</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81.7</w:t>
            </w:r>
          </w:p>
        </w:tc>
        <w:tc>
          <w:tcPr/>
          <w:p>
            <w:pPr>
              <w:pStyle w:val="Compact"/>
              <w:jc w:val="right"/>
            </w:pPr>
            <w:r>
              <w:t xml:space="preserve">66.1</w:t>
            </w:r>
          </w:p>
        </w:tc>
        <w:tc>
          <w:tcPr/>
          <w:p>
            <w:pPr>
              <w:pStyle w:val="Compact"/>
              <w:jc w:val="right"/>
            </w:pPr>
            <w:r>
              <w:t xml:space="preserve">79.0</w:t>
            </w:r>
          </w:p>
        </w:tc>
        <w:tc>
          <w:tcPr/>
          <w:p>
            <w:pPr>
              <w:pStyle w:val="Compact"/>
              <w:jc w:val="right"/>
            </w:pPr>
            <w:r>
              <w:t xml:space="preserve">115.3</w:t>
            </w:r>
          </w:p>
        </w:tc>
        <w:tc>
          <w:tcPr/>
          <w:p>
            <w:pPr>
              <w:pStyle w:val="Compact"/>
              <w:jc w:val="right"/>
            </w:pPr>
            <w:r>
              <w:t xml:space="preserve">66.4</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80.2</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107.3</w:t>
            </w:r>
          </w:p>
        </w:tc>
        <w:tc>
          <w:tcPr/>
          <w:p>
            <w:pPr>
              <w:pStyle w:val="Compact"/>
              <w:jc w:val="right"/>
            </w:pPr>
            <w:r>
              <w:t xml:space="preserve">63.3</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79.9</w:t>
            </w:r>
          </w:p>
        </w:tc>
        <w:tc>
          <w:tcPr/>
          <w:p>
            <w:pPr>
              <w:pStyle w:val="Compact"/>
              <w:jc w:val="right"/>
            </w:pPr>
            <w:r>
              <w:t xml:space="preserve">59.8</w:t>
            </w:r>
          </w:p>
        </w:tc>
        <w:tc>
          <w:tcPr/>
          <w:p>
            <w:pPr>
              <w:pStyle w:val="Compact"/>
              <w:jc w:val="right"/>
            </w:pPr>
            <w:r>
              <w:t xml:space="preserve">71.5</w:t>
            </w:r>
          </w:p>
        </w:tc>
        <w:tc>
          <w:tcPr/>
          <w:p>
            <w:pPr>
              <w:pStyle w:val="Compact"/>
              <w:jc w:val="right"/>
            </w:pPr>
            <w:r>
              <w:t xml:space="preserve">104.0</w:t>
            </w:r>
          </w:p>
        </w:tc>
        <w:tc>
          <w:tcPr/>
          <w:p>
            <w:pPr>
              <w:pStyle w:val="Compact"/>
              <w:jc w:val="right"/>
            </w:pPr>
            <w:r>
              <w:t xml:space="preserve">84.1</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66.9</w:t>
            </w:r>
          </w:p>
        </w:tc>
        <w:tc>
          <w:tcPr/>
          <w:p>
            <w:pPr>
              <w:pStyle w:val="Compact"/>
              <w:jc w:val="right"/>
            </w:pPr>
            <w:r>
              <w:t xml:space="preserve">118.4</w:t>
            </w:r>
          </w:p>
        </w:tc>
        <w:tc>
          <w:tcPr/>
          <w:p>
            <w:pPr>
              <w:pStyle w:val="Compact"/>
              <w:jc w:val="right"/>
            </w:pPr>
            <w:r>
              <w:t xml:space="preserve">51.3</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77.9</w:t>
            </w:r>
          </w:p>
        </w:tc>
        <w:tc>
          <w:tcPr/>
          <w:p>
            <w:pPr>
              <w:pStyle w:val="Compact"/>
              <w:jc w:val="right"/>
            </w:pPr>
            <w:r>
              <w:t xml:space="preserve">71.4</w:t>
            </w:r>
          </w:p>
        </w:tc>
        <w:tc>
          <w:tcPr/>
          <w:p>
            <w:pPr>
              <w:pStyle w:val="Compact"/>
              <w:jc w:val="right"/>
            </w:pPr>
            <w:r>
              <w:t xml:space="preserve">69.5</w:t>
            </w:r>
          </w:p>
        </w:tc>
        <w:tc>
          <w:tcPr/>
          <w:p>
            <w:pPr>
              <w:pStyle w:val="Compact"/>
              <w:jc w:val="right"/>
            </w:pPr>
            <w:r>
              <w:t xml:space="preserve">99.4</w:t>
            </w:r>
          </w:p>
        </w:tc>
        <w:tc>
          <w:tcPr/>
          <w:p>
            <w:pPr>
              <w:pStyle w:val="Compact"/>
              <w:jc w:val="right"/>
            </w:pPr>
            <w:r>
              <w:t xml:space="preserve">71.2</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76.9</w:t>
            </w:r>
          </w:p>
        </w:tc>
        <w:tc>
          <w:tcPr/>
          <w:p>
            <w:pPr>
              <w:pStyle w:val="Compact"/>
              <w:jc w:val="right"/>
            </w:pPr>
            <w:r>
              <w:t xml:space="preserve">87.1</w:t>
            </w:r>
          </w:p>
        </w:tc>
        <w:tc>
          <w:tcPr/>
          <w:p>
            <w:pPr>
              <w:pStyle w:val="Compact"/>
              <w:jc w:val="right"/>
            </w:pPr>
            <w:r>
              <w:t xml:space="preserve">81.3</w:t>
            </w:r>
          </w:p>
        </w:tc>
        <w:tc>
          <w:tcPr/>
          <w:p>
            <w:pPr>
              <w:pStyle w:val="Compact"/>
              <w:jc w:val="right"/>
            </w:pPr>
            <w:r>
              <w:t xml:space="preserve">88.5</w:t>
            </w:r>
          </w:p>
        </w:tc>
        <w:tc>
          <w:tcPr/>
          <w:p>
            <w:pPr>
              <w:pStyle w:val="Compact"/>
              <w:jc w:val="right"/>
            </w:pPr>
            <w:r>
              <w:t xml:space="preserve">50.6</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76.4</w:t>
            </w:r>
          </w:p>
        </w:tc>
        <w:tc>
          <w:tcPr/>
          <w:p>
            <w:pPr>
              <w:pStyle w:val="Compact"/>
              <w:jc w:val="right"/>
            </w:pPr>
            <w:r>
              <w:t xml:space="preserve">51.8</w:t>
            </w:r>
          </w:p>
        </w:tc>
        <w:tc>
          <w:tcPr/>
          <w:p>
            <w:pPr>
              <w:pStyle w:val="Compact"/>
              <w:jc w:val="right"/>
            </w:pPr>
            <w:r>
              <w:t xml:space="preserve">74.7</w:t>
            </w:r>
          </w:p>
        </w:tc>
        <w:tc>
          <w:tcPr/>
          <w:p>
            <w:pPr>
              <w:pStyle w:val="Compact"/>
              <w:jc w:val="right"/>
            </w:pPr>
            <w:r>
              <w:t xml:space="preserve">103.9</w:t>
            </w:r>
          </w:p>
        </w:tc>
        <w:tc>
          <w:tcPr/>
          <w:p>
            <w:pPr>
              <w:pStyle w:val="Compact"/>
              <w:jc w:val="right"/>
            </w:pPr>
            <w:r>
              <w:t xml:space="preserve">75.4</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73.8</w:t>
            </w:r>
          </w:p>
        </w:tc>
        <w:tc>
          <w:tcPr/>
          <w:p>
            <w:pPr>
              <w:pStyle w:val="Compact"/>
              <w:jc w:val="right"/>
            </w:pPr>
            <w:r>
              <w:t xml:space="preserve">81.3</w:t>
            </w:r>
          </w:p>
        </w:tc>
        <w:tc>
          <w:tcPr/>
          <w:p>
            <w:pPr>
              <w:pStyle w:val="Compact"/>
              <w:jc w:val="right"/>
            </w:pPr>
            <w:r>
              <w:t xml:space="preserve">69.3</w:t>
            </w:r>
          </w:p>
        </w:tc>
        <w:tc>
          <w:tcPr/>
          <w:p>
            <w:pPr>
              <w:pStyle w:val="Compact"/>
              <w:jc w:val="right"/>
            </w:pPr>
            <w:r>
              <w:t xml:space="preserve">97.2</w:t>
            </w:r>
          </w:p>
        </w:tc>
        <w:tc>
          <w:tcPr/>
          <w:p>
            <w:pPr>
              <w:pStyle w:val="Compact"/>
              <w:jc w:val="right"/>
            </w:pPr>
            <w:r>
              <w:t xml:space="preserve">47.6</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73.7</w:t>
            </w:r>
          </w:p>
        </w:tc>
        <w:tc>
          <w:tcPr/>
          <w:p>
            <w:pPr>
              <w:pStyle w:val="Compact"/>
              <w:jc w:val="right"/>
            </w:pPr>
            <w:r>
              <w:t xml:space="preserve">59.7</w:t>
            </w:r>
          </w:p>
        </w:tc>
        <w:tc>
          <w:tcPr/>
          <w:p>
            <w:pPr>
              <w:pStyle w:val="Compact"/>
              <w:jc w:val="right"/>
            </w:pPr>
            <w:r>
              <w:t xml:space="preserve">70.8</w:t>
            </w:r>
          </w:p>
        </w:tc>
        <w:tc>
          <w:tcPr/>
          <w:p>
            <w:pPr>
              <w:pStyle w:val="Compact"/>
              <w:jc w:val="right"/>
            </w:pPr>
            <w:r>
              <w:t xml:space="preserve">99.1</w:t>
            </w:r>
          </w:p>
        </w:tc>
        <w:tc>
          <w:tcPr/>
          <w:p>
            <w:pPr>
              <w:pStyle w:val="Compact"/>
              <w:jc w:val="right"/>
            </w:pPr>
            <w:r>
              <w:t xml:space="preserve">65.4</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70.5</w:t>
            </w:r>
          </w:p>
        </w:tc>
        <w:tc>
          <w:tcPr/>
          <w:p>
            <w:pPr>
              <w:pStyle w:val="Compact"/>
              <w:jc w:val="right"/>
            </w:pPr>
            <w:r>
              <w:t xml:space="preserve">62.7</w:t>
            </w:r>
          </w:p>
        </w:tc>
        <w:tc>
          <w:tcPr/>
          <w:p>
            <w:pPr>
              <w:pStyle w:val="Compact"/>
              <w:jc w:val="right"/>
            </w:pPr>
            <w:r>
              <w:t xml:space="preserve">68.7</w:t>
            </w:r>
          </w:p>
        </w:tc>
        <w:tc>
          <w:tcPr/>
          <w:p>
            <w:pPr>
              <w:pStyle w:val="Compact"/>
              <w:jc w:val="right"/>
            </w:pPr>
            <w:r>
              <w:t xml:space="preserve">92.1</w:t>
            </w:r>
          </w:p>
        </w:tc>
        <w:tc>
          <w:tcPr/>
          <w:p>
            <w:pPr>
              <w:pStyle w:val="Compact"/>
              <w:jc w:val="right"/>
            </w:pPr>
            <w:r>
              <w:t xml:space="preserve">58.4</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69.4</w:t>
            </w:r>
          </w:p>
        </w:tc>
        <w:tc>
          <w:tcPr/>
          <w:p>
            <w:pPr>
              <w:pStyle w:val="Compact"/>
              <w:jc w:val="right"/>
            </w:pPr>
            <w:r>
              <w:t xml:space="preserve">59.4</w:t>
            </w:r>
          </w:p>
        </w:tc>
        <w:tc>
          <w:tcPr/>
          <w:p>
            <w:pPr>
              <w:pStyle w:val="Compact"/>
              <w:jc w:val="right"/>
            </w:pPr>
            <w:r>
              <w:t xml:space="preserve">66.5</w:t>
            </w:r>
          </w:p>
        </w:tc>
        <w:tc>
          <w:tcPr/>
          <w:p>
            <w:pPr>
              <w:pStyle w:val="Compact"/>
              <w:jc w:val="right"/>
            </w:pPr>
            <w:r>
              <w:t xml:space="preserve">102.5</w:t>
            </w:r>
          </w:p>
        </w:tc>
        <w:tc>
          <w:tcPr/>
          <w:p>
            <w:pPr>
              <w:pStyle w:val="Compact"/>
              <w:jc w:val="right"/>
            </w:pPr>
            <w:r>
              <w:t xml:space="preserve">49.3</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69.4</w:t>
            </w:r>
          </w:p>
        </w:tc>
        <w:tc>
          <w:tcPr/>
          <w:p>
            <w:pPr>
              <w:pStyle w:val="Compact"/>
              <w:jc w:val="right"/>
            </w:pPr>
            <w:r>
              <w:t xml:space="preserve">50.2</w:t>
            </w:r>
          </w:p>
        </w:tc>
        <w:tc>
          <w:tcPr/>
          <w:p>
            <w:pPr>
              <w:pStyle w:val="Compact"/>
              <w:jc w:val="right"/>
            </w:pPr>
            <w:r>
              <w:t xml:space="preserve">63.1</w:t>
            </w:r>
          </w:p>
        </w:tc>
        <w:tc>
          <w:tcPr/>
          <w:p>
            <w:pPr>
              <w:pStyle w:val="Compact"/>
              <w:jc w:val="right"/>
            </w:pPr>
            <w:r>
              <w:t xml:space="preserve">103.3</w:t>
            </w:r>
          </w:p>
        </w:tc>
        <w:tc>
          <w:tcPr/>
          <w:p>
            <w:pPr>
              <w:pStyle w:val="Compact"/>
              <w:jc w:val="right"/>
            </w:pPr>
            <w:r>
              <w:t xml:space="preserve">61.0</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67.6</w:t>
            </w:r>
          </w:p>
        </w:tc>
        <w:tc>
          <w:tcPr/>
          <w:p>
            <w:pPr>
              <w:pStyle w:val="Compact"/>
              <w:jc w:val="right"/>
            </w:pPr>
            <w:r>
              <w:t xml:space="preserve">51.3</w:t>
            </w:r>
          </w:p>
        </w:tc>
        <w:tc>
          <w:tcPr/>
          <w:p>
            <w:pPr>
              <w:pStyle w:val="Compact"/>
              <w:jc w:val="right"/>
            </w:pPr>
            <w:r>
              <w:t xml:space="preserve">73.0</w:t>
            </w:r>
          </w:p>
        </w:tc>
        <w:tc>
          <w:tcPr/>
          <w:p>
            <w:pPr>
              <w:pStyle w:val="Compact"/>
              <w:jc w:val="right"/>
            </w:pPr>
            <w:r>
              <w:t xml:space="preserve">95.0</w:t>
            </w:r>
          </w:p>
        </w:tc>
        <w:tc>
          <w:tcPr/>
          <w:p>
            <w:pPr>
              <w:pStyle w:val="Compact"/>
              <w:jc w:val="right"/>
            </w:pPr>
            <w:r>
              <w:t xml:space="preserve">51.1</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66.2</w:t>
            </w:r>
          </w:p>
        </w:tc>
        <w:tc>
          <w:tcPr/>
          <w:p>
            <w:pPr>
              <w:pStyle w:val="Compact"/>
              <w:jc w:val="right"/>
            </w:pPr>
            <w:r>
              <w:t xml:space="preserve">64.0</w:t>
            </w:r>
          </w:p>
        </w:tc>
        <w:tc>
          <w:tcPr/>
          <w:p>
            <w:pPr>
              <w:pStyle w:val="Compact"/>
              <w:jc w:val="right"/>
            </w:pPr>
            <w:r>
              <w:t xml:space="preserve">72.2</w:t>
            </w:r>
          </w:p>
        </w:tc>
        <w:tc>
          <w:tcPr/>
          <w:p>
            <w:pPr>
              <w:pStyle w:val="Compact"/>
              <w:jc w:val="right"/>
            </w:pPr>
            <w:r>
              <w:t xml:space="preserve">79.5</w:t>
            </w:r>
          </w:p>
        </w:tc>
        <w:tc>
          <w:tcPr/>
          <w:p>
            <w:pPr>
              <w:pStyle w:val="Compact"/>
              <w:jc w:val="right"/>
            </w:pPr>
            <w:r>
              <w:t xml:space="preserve">49.1</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50.8</w:t>
            </w:r>
          </w:p>
        </w:tc>
        <w:tc>
          <w:tcPr/>
          <w:p>
            <w:pPr>
              <w:pStyle w:val="Compact"/>
              <w:jc w:val="right"/>
            </w:pPr>
            <w:r>
              <w:t xml:space="preserve">65.6</w:t>
            </w:r>
          </w:p>
        </w:tc>
        <w:tc>
          <w:tcPr/>
          <w:p>
            <w:pPr>
              <w:pStyle w:val="Compact"/>
              <w:jc w:val="right"/>
            </w:pPr>
            <w:r>
              <w:t xml:space="preserve">88.9</w:t>
            </w:r>
          </w:p>
        </w:tc>
        <w:tc>
          <w:tcPr/>
          <w:p>
            <w:pPr>
              <w:pStyle w:val="Compact"/>
              <w:jc w:val="right"/>
            </w:pPr>
            <w:r>
              <w:t xml:space="preserve">53.8</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61.3</w:t>
            </w:r>
          </w:p>
        </w:tc>
        <w:tc>
          <w:tcPr/>
          <w:p>
            <w:pPr>
              <w:pStyle w:val="Compact"/>
              <w:jc w:val="right"/>
            </w:pPr>
            <w:r>
              <w:t xml:space="preserve">52.6</w:t>
            </w:r>
          </w:p>
        </w:tc>
        <w:tc>
          <w:tcPr/>
          <w:p>
            <w:pPr>
              <w:pStyle w:val="Compact"/>
              <w:jc w:val="right"/>
            </w:pPr>
            <w:r>
              <w:t xml:space="preserve">58.4</w:t>
            </w:r>
          </w:p>
        </w:tc>
        <w:tc>
          <w:tcPr/>
          <w:p>
            <w:pPr>
              <w:pStyle w:val="Compact"/>
              <w:jc w:val="right"/>
            </w:pPr>
            <w:r>
              <w:t xml:space="preserve">87.9</w:t>
            </w:r>
          </w:p>
        </w:tc>
        <w:tc>
          <w:tcPr/>
          <w:p>
            <w:pPr>
              <w:pStyle w:val="Compact"/>
              <w:jc w:val="right"/>
            </w:pPr>
            <w:r>
              <w:t xml:space="preserve">46.3</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55.4</w:t>
            </w:r>
          </w:p>
        </w:tc>
        <w:tc>
          <w:tcPr/>
          <w:p>
            <w:pPr>
              <w:pStyle w:val="Compact"/>
              <w:jc w:val="right"/>
            </w:pPr>
            <w:r>
              <w:t xml:space="preserve">53.6</w:t>
            </w:r>
          </w:p>
        </w:tc>
        <w:tc>
          <w:tcPr/>
          <w:p>
            <w:pPr>
              <w:pStyle w:val="Compact"/>
              <w:jc w:val="right"/>
            </w:pPr>
            <w:r>
              <w:t xml:space="preserve">68.0</w:t>
            </w:r>
          </w:p>
        </w:tc>
        <w:tc>
          <w:tcPr/>
          <w:p>
            <w:pPr>
              <w:pStyle w:val="Compact"/>
              <w:jc w:val="right"/>
            </w:pPr>
            <w:r>
              <w:t xml:space="preserve">66.1</w:t>
            </w:r>
          </w:p>
        </w:tc>
        <w:tc>
          <w:tcPr/>
          <w:p>
            <w:pPr>
              <w:pStyle w:val="Compact"/>
              <w:jc w:val="right"/>
            </w:pPr>
            <w:r>
              <w:t xml:space="preserve">33.9</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36.0</w:t>
            </w:r>
          </w:p>
        </w:tc>
        <w:tc>
          <w:tcPr/>
          <w:p>
            <w:pPr>
              <w:pStyle w:val="Compact"/>
              <w:jc w:val="right"/>
            </w:pPr>
            <w:r>
              <w:t xml:space="preserve">37.8</w:t>
            </w:r>
          </w:p>
        </w:tc>
        <w:tc>
          <w:tcPr/>
          <w:p>
            <w:pPr>
              <w:pStyle w:val="Compact"/>
              <w:jc w:val="right"/>
            </w:pPr>
            <w:r>
              <w:t xml:space="preserve">39.5</w:t>
            </w:r>
          </w:p>
        </w:tc>
        <w:tc>
          <w:tcPr/>
          <w:p>
            <w:pPr>
              <w:pStyle w:val="Compact"/>
              <w:jc w:val="right"/>
            </w:pPr>
            <w:r>
              <w:t xml:space="preserve">45.6</w:t>
            </w:r>
          </w:p>
        </w:tc>
        <w:tc>
          <w:tcPr/>
          <w:p>
            <w:pPr>
              <w:pStyle w:val="Compact"/>
              <w:jc w:val="right"/>
            </w:pPr>
            <w:r>
              <w:t xml:space="preserve">21.1</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 (Kunnat)</dc:title>
  <dc:creator>Diakin karttasovellus 2022-02-22 22:44:23</dc:creator>
  <cp:keywords/>
  <dcterms:created xsi:type="dcterms:W3CDTF">2022-02-22T20:46:11Z</dcterms:created>
  <dcterms:modified xsi:type="dcterms:W3CDTF">2022-02-22T20:46:11Z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