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Parainen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22:52:23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22:52:23.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Parainen. Lisäksi tarkastelussa ovat rajanaapurit: Parainen.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par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86.1</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72.6</w:t>
            </w:r>
          </w:p>
        </w:tc>
        <w:tc>
          <w:tcPr/>
          <w:p>
            <w:pPr>
              <w:pStyle w:val="Compact"/>
              <w:jc w:val="right"/>
            </w:pPr>
            <w:r>
              <w:t xml:space="preserve">257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86.8</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98.9</w:t>
            </w:r>
          </w:p>
        </w:tc>
        <w:tc>
          <w:tcPr/>
          <w:p>
            <w:pPr>
              <w:pStyle w:val="Compact"/>
              <w:jc w:val="right"/>
            </w:pPr>
            <w:r>
              <w:t xml:space="preserve">177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98.0</w:t>
            </w:r>
          </w:p>
        </w:tc>
        <w:tc>
          <w:tcPr/>
          <w:p>
            <w:pPr>
              <w:pStyle w:val="Compact"/>
              <w:jc w:val="right"/>
            </w:pPr>
            <w:r>
              <w:t xml:space="preserve">148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72.5</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58.2</w:t>
            </w:r>
          </w:p>
        </w:tc>
        <w:tc>
          <w:tcPr/>
          <w:p>
            <w:pPr>
              <w:pStyle w:val="Compact"/>
              <w:jc w:val="right"/>
            </w:pPr>
            <w:r>
              <w:t xml:space="preserve">256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56.4</w:t>
            </w:r>
          </w:p>
        </w:tc>
        <w:tc>
          <w:tcPr/>
          <w:p>
            <w:pPr>
              <w:pStyle w:val="Compact"/>
              <w:jc w:val="right"/>
            </w:pPr>
            <w:r>
              <w:t xml:space="preserve">144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87.6</w:t>
            </w:r>
          </w:p>
        </w:tc>
        <w:tc>
          <w:tcPr/>
          <w:p>
            <w:pPr>
              <w:pStyle w:val="Compact"/>
              <w:jc w:val="right"/>
            </w:pPr>
            <w:r>
              <w:t xml:space="preserve">172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63.1</w:t>
            </w:r>
          </w:p>
        </w:tc>
        <w:tc>
          <w:tcPr/>
          <w:p>
            <w:pPr>
              <w:pStyle w:val="Compact"/>
              <w:jc w:val="right"/>
            </w:pPr>
            <w:r>
              <w:t xml:space="preserve">258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ainen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ainen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60.5</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102.3</w:t>
            </w:r>
          </w:p>
        </w:tc>
        <w:tc>
          <w:tcPr/>
          <w:p>
            <w:pPr>
              <w:pStyle w:val="Compact"/>
              <w:jc w:val="right"/>
            </w:pPr>
            <w:r>
              <w:t xml:space="preserve">134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108.4</w:t>
            </w:r>
          </w:p>
        </w:tc>
        <w:tc>
          <w:tcPr/>
          <w:p>
            <w:pPr>
              <w:pStyle w:val="Compact"/>
              <w:jc w:val="right"/>
            </w:pPr>
            <w:r>
              <w:t xml:space="preserve">114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ainen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ainen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51.5</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80.2</w:t>
            </w:r>
          </w:p>
        </w:tc>
        <w:tc>
          <w:tcPr/>
          <w:p>
            <w:pPr>
              <w:pStyle w:val="Compact"/>
              <w:jc w:val="right"/>
            </w:pPr>
            <w:r>
              <w:t xml:space="preserve">188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70.4</w:t>
            </w:r>
          </w:p>
        </w:tc>
        <w:tc>
          <w:tcPr/>
          <w:p>
            <w:pPr>
              <w:pStyle w:val="Compact"/>
              <w:jc w:val="right"/>
            </w:pPr>
            <w:r>
              <w:t xml:space="preserve">231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50.5</w:t>
            </w:r>
          </w:p>
        </w:tc>
        <w:tc>
          <w:tcPr/>
          <w:p>
            <w:pPr>
              <w:pStyle w:val="Compact"/>
              <w:jc w:val="right"/>
            </w:pPr>
            <w:r>
              <w:t xml:space="preserve">253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Parainen (valittu)</w:t>
            </w:r>
          </w:p>
        </w:tc>
        <w:tc>
          <w:tcPr/>
          <w:p>
            <w:pPr>
              <w:pStyle w:val="Compact"/>
              <w:jc w:val="right"/>
            </w:pPr>
            <w:r>
              <w:t xml:space="preserve">241.7</w:t>
            </w:r>
          </w:p>
        </w:tc>
        <w:tc>
          <w:tcPr/>
          <w:p>
            <w:pPr>
              <w:pStyle w:val="Compact"/>
              <w:jc w:val="right"/>
            </w:pPr>
            <w:r>
              <w:t xml:space="preserve">24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ainen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103.5</w:t>
            </w:r>
          </w:p>
        </w:tc>
        <w:tc>
          <w:tcPr/>
          <w:p>
            <w:pPr>
              <w:pStyle w:val="Compact"/>
              <w:jc w:val="right"/>
            </w:pPr>
            <w:r>
              <w:t xml:space="preserve">108.0</w:t>
            </w:r>
          </w:p>
        </w:tc>
        <w:tc>
          <w:tcPr/>
          <w:p>
            <w:pPr>
              <w:pStyle w:val="Compact"/>
              <w:jc w:val="right"/>
            </w:pPr>
            <w:r>
              <w:t xml:space="preserve">101.4</w:t>
            </w:r>
          </w:p>
        </w:tc>
        <w:tc>
          <w:tcPr/>
          <w:p>
            <w:pPr>
              <w:pStyle w:val="Compact"/>
              <w:jc w:val="right"/>
            </w:pPr>
            <w:r>
              <w:t xml:space="preserve">121.0</w:t>
            </w:r>
          </w:p>
        </w:tc>
        <w:tc>
          <w:tcPr/>
          <w:p>
            <w:pPr>
              <w:pStyle w:val="Compact"/>
              <w:jc w:val="right"/>
            </w:pPr>
            <w:r>
              <w:t xml:space="preserve">83.7</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95.4</w:t>
            </w:r>
          </w:p>
        </w:tc>
        <w:tc>
          <w:tcPr/>
          <w:p>
            <w:pPr>
              <w:pStyle w:val="Compact"/>
              <w:jc w:val="right"/>
            </w:pPr>
            <w:r>
              <w:t xml:space="preserve">91.9</w:t>
            </w:r>
          </w:p>
        </w:tc>
        <w:tc>
          <w:tcPr/>
          <w:p>
            <w:pPr>
              <w:pStyle w:val="Compact"/>
              <w:jc w:val="right"/>
            </w:pPr>
            <w:r>
              <w:t xml:space="preserve">105.2</w:t>
            </w:r>
          </w:p>
        </w:tc>
        <w:tc>
          <w:tcPr/>
          <w:p>
            <w:pPr>
              <w:pStyle w:val="Compact"/>
              <w:jc w:val="right"/>
            </w:pPr>
            <w:r>
              <w:t xml:space="preserve">55.6</w:t>
            </w:r>
          </w:p>
        </w:tc>
        <w:tc>
          <w:tcPr/>
          <w:p>
            <w:pPr>
              <w:pStyle w:val="Compact"/>
              <w:jc w:val="right"/>
            </w:pPr>
            <w:r>
              <w:t xml:space="preserve">128.7</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90.6</w:t>
            </w:r>
          </w:p>
        </w:tc>
        <w:tc>
          <w:tcPr/>
          <w:p>
            <w:pPr>
              <w:pStyle w:val="Compact"/>
              <w:jc w:val="right"/>
            </w:pPr>
            <w:r>
              <w:t xml:space="preserve">92.4</w:t>
            </w:r>
          </w:p>
        </w:tc>
        <w:tc>
          <w:tcPr/>
          <w:p>
            <w:pPr>
              <w:pStyle w:val="Compact"/>
              <w:jc w:val="right"/>
            </w:pPr>
            <w:r>
              <w:t xml:space="preserve">81.7</w:t>
            </w:r>
          </w:p>
        </w:tc>
        <w:tc>
          <w:tcPr/>
          <w:p>
            <w:pPr>
              <w:pStyle w:val="Compact"/>
              <w:jc w:val="right"/>
            </w:pPr>
            <w:r>
              <w:t xml:space="preserve">81.9</w:t>
            </w:r>
          </w:p>
        </w:tc>
        <w:tc>
          <w:tcPr/>
          <w:p>
            <w:pPr>
              <w:pStyle w:val="Compact"/>
              <w:jc w:val="right"/>
            </w:pPr>
            <w:r>
              <w:t xml:space="preserve">106.4</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85.8</w:t>
            </w:r>
          </w:p>
        </w:tc>
        <w:tc>
          <w:tcPr/>
          <w:p>
            <w:pPr>
              <w:pStyle w:val="Compact"/>
              <w:jc w:val="right"/>
            </w:pPr>
            <w:r>
              <w:t xml:space="preserve">118.5</w:t>
            </w:r>
          </w:p>
        </w:tc>
        <w:tc>
          <w:tcPr/>
          <w:p>
            <w:pPr>
              <w:pStyle w:val="Compact"/>
              <w:jc w:val="right"/>
            </w:pPr>
            <w:r>
              <w:t xml:space="preserve">105.2</w:t>
            </w:r>
          </w:p>
        </w:tc>
        <w:tc>
          <w:tcPr/>
          <w:p>
            <w:pPr>
              <w:pStyle w:val="Compact"/>
              <w:jc w:val="right"/>
            </w:pPr>
            <w:r>
              <w:t xml:space="preserve">29.8</w:t>
            </w:r>
          </w:p>
        </w:tc>
        <w:tc>
          <w:tcPr/>
          <w:p>
            <w:pPr>
              <w:pStyle w:val="Compact"/>
              <w:jc w:val="right"/>
            </w:pPr>
            <w:r>
              <w:t xml:space="preserve">89.6</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84.3</w:t>
            </w:r>
          </w:p>
        </w:tc>
        <w:tc>
          <w:tcPr/>
          <w:p>
            <w:pPr>
              <w:pStyle w:val="Compact"/>
              <w:jc w:val="right"/>
            </w:pPr>
            <w:r>
              <w:t xml:space="preserve">84.8</w:t>
            </w:r>
          </w:p>
        </w:tc>
        <w:tc>
          <w:tcPr/>
          <w:p>
            <w:pPr>
              <w:pStyle w:val="Compact"/>
              <w:jc w:val="right"/>
            </w:pPr>
            <w:r>
              <w:t xml:space="preserve">92.9</w:t>
            </w:r>
          </w:p>
        </w:tc>
        <w:tc>
          <w:tcPr/>
          <w:p>
            <w:pPr>
              <w:pStyle w:val="Compact"/>
              <w:jc w:val="right"/>
            </w:pPr>
            <w:r>
              <w:t xml:space="preserve">36.7</w:t>
            </w:r>
          </w:p>
        </w:tc>
        <w:tc>
          <w:tcPr/>
          <w:p>
            <w:pPr>
              <w:pStyle w:val="Compact"/>
              <w:jc w:val="right"/>
            </w:pPr>
            <w:r>
              <w:t xml:space="preserve">122.6</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78.3</w:t>
            </w:r>
          </w:p>
        </w:tc>
        <w:tc>
          <w:tcPr/>
          <w:p>
            <w:pPr>
              <w:pStyle w:val="Compact"/>
              <w:jc w:val="right"/>
            </w:pPr>
            <w:r>
              <w:t xml:space="preserve">80.6</w:t>
            </w:r>
          </w:p>
        </w:tc>
        <w:tc>
          <w:tcPr/>
          <w:p>
            <w:pPr>
              <w:pStyle w:val="Compact"/>
              <w:jc w:val="right"/>
            </w:pPr>
            <w:r>
              <w:t xml:space="preserve">79.3</w:t>
            </w:r>
          </w:p>
        </w:tc>
        <w:tc>
          <w:tcPr/>
          <w:p>
            <w:pPr>
              <w:pStyle w:val="Compact"/>
              <w:jc w:val="right"/>
            </w:pPr>
            <w:r>
              <w:t xml:space="preserve">53.5</w:t>
            </w:r>
          </w:p>
        </w:tc>
        <w:tc>
          <w:tcPr/>
          <w:p>
            <w:pPr>
              <w:pStyle w:val="Compact"/>
              <w:jc w:val="right"/>
            </w:pPr>
            <w:r>
              <w:t xml:space="preserve">99.8</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76.1</w:t>
            </w:r>
          </w:p>
        </w:tc>
        <w:tc>
          <w:tcPr/>
          <w:p>
            <w:pPr>
              <w:pStyle w:val="Compact"/>
              <w:jc w:val="right"/>
            </w:pPr>
            <w:r>
              <w:t xml:space="preserve">71.6</w:t>
            </w:r>
          </w:p>
        </w:tc>
        <w:tc>
          <w:tcPr/>
          <w:p>
            <w:pPr>
              <w:pStyle w:val="Compact"/>
              <w:jc w:val="right"/>
            </w:pPr>
            <w:r>
              <w:t xml:space="preserve">65.6</w:t>
            </w:r>
          </w:p>
        </w:tc>
        <w:tc>
          <w:tcPr/>
          <w:p>
            <w:pPr>
              <w:pStyle w:val="Compact"/>
              <w:jc w:val="right"/>
            </w:pPr>
            <w:r>
              <w:t xml:space="preserve">88.4</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73.3</w:t>
            </w:r>
          </w:p>
        </w:tc>
        <w:tc>
          <w:tcPr/>
          <w:p>
            <w:pPr>
              <w:pStyle w:val="Compact"/>
              <w:jc w:val="right"/>
            </w:pPr>
            <w:r>
              <w:t xml:space="preserve">93.2</w:t>
            </w:r>
          </w:p>
        </w:tc>
        <w:tc>
          <w:tcPr/>
          <w:p>
            <w:pPr>
              <w:pStyle w:val="Compact"/>
              <w:jc w:val="right"/>
            </w:pPr>
            <w:r>
              <w:t xml:space="preserve">88.8</w:t>
            </w:r>
          </w:p>
        </w:tc>
        <w:tc>
          <w:tcPr/>
          <w:p>
            <w:pPr>
              <w:pStyle w:val="Compact"/>
              <w:jc w:val="right"/>
            </w:pPr>
            <w:r>
              <w:t xml:space="preserve">18.0</w:t>
            </w:r>
          </w:p>
        </w:tc>
        <w:tc>
          <w:tcPr/>
          <w:p>
            <w:pPr>
              <w:pStyle w:val="Compact"/>
              <w:jc w:val="right"/>
            </w:pPr>
            <w:r>
              <w:t xml:space="preserve">93.2</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72.4</w:t>
            </w:r>
          </w:p>
        </w:tc>
        <w:tc>
          <w:tcPr/>
          <w:p>
            <w:pPr>
              <w:pStyle w:val="Compact"/>
              <w:jc w:val="right"/>
            </w:pPr>
            <w:r>
              <w:t xml:space="preserve">82.9</w:t>
            </w:r>
          </w:p>
        </w:tc>
        <w:tc>
          <w:tcPr/>
          <w:p>
            <w:pPr>
              <w:pStyle w:val="Compact"/>
              <w:jc w:val="right"/>
            </w:pPr>
            <w:r>
              <w:t xml:space="preserve">90.0</w:t>
            </w:r>
          </w:p>
        </w:tc>
        <w:tc>
          <w:tcPr/>
          <w:p>
            <w:pPr>
              <w:pStyle w:val="Compact"/>
              <w:jc w:val="right"/>
            </w:pPr>
            <w:r>
              <w:t xml:space="preserve">23.7</w:t>
            </w:r>
          </w:p>
        </w:tc>
        <w:tc>
          <w:tcPr/>
          <w:p>
            <w:pPr>
              <w:pStyle w:val="Compact"/>
              <w:jc w:val="right"/>
            </w:pPr>
            <w:r>
              <w:t xml:space="preserve">92.9</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61.0</w:t>
            </w:r>
          </w:p>
        </w:tc>
        <w:tc>
          <w:tcPr/>
          <w:p>
            <w:pPr>
              <w:pStyle w:val="Compact"/>
              <w:jc w:val="right"/>
            </w:pPr>
            <w:r>
              <w:t xml:space="preserve">51.5</w:t>
            </w:r>
          </w:p>
        </w:tc>
        <w:tc>
          <w:tcPr/>
          <w:p>
            <w:pPr>
              <w:pStyle w:val="Compact"/>
              <w:jc w:val="right"/>
            </w:pPr>
            <w:r>
              <w:t xml:space="preserve">78.5</w:t>
            </w:r>
          </w:p>
        </w:tc>
        <w:tc>
          <w:tcPr/>
          <w:p>
            <w:pPr>
              <w:pStyle w:val="Compact"/>
              <w:jc w:val="right"/>
            </w:pPr>
            <w:r>
              <w:t xml:space="preserve">41.8</w:t>
            </w:r>
          </w:p>
        </w:tc>
        <w:tc>
          <w:tcPr/>
          <w:p>
            <w:pPr>
              <w:pStyle w:val="Compact"/>
              <w:jc w:val="right"/>
            </w:pPr>
            <w:r>
              <w:t xml:space="preserve">72.2</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54.3</w:t>
            </w:r>
          </w:p>
        </w:tc>
        <w:tc>
          <w:tcPr/>
          <w:p>
            <w:pPr>
              <w:pStyle w:val="Compact"/>
              <w:jc w:val="right"/>
            </w:pPr>
            <w:r>
              <w:t xml:space="preserve">49.5</w:t>
            </w:r>
          </w:p>
        </w:tc>
        <w:tc>
          <w:tcPr/>
          <w:p>
            <w:pPr>
              <w:pStyle w:val="Compact"/>
              <w:jc w:val="right"/>
            </w:pPr>
            <w:r>
              <w:t xml:space="preserve">68.5</w:t>
            </w:r>
          </w:p>
        </w:tc>
        <w:tc>
          <w:tcPr/>
          <w:p>
            <w:pPr>
              <w:pStyle w:val="Compact"/>
              <w:jc w:val="right"/>
            </w:pPr>
            <w:r>
              <w:t xml:space="preserve">36.1</w:t>
            </w:r>
          </w:p>
        </w:tc>
        <w:tc>
          <w:tcPr/>
          <w:p>
            <w:pPr>
              <w:pStyle w:val="Compact"/>
              <w:jc w:val="right"/>
            </w:pPr>
            <w:r>
              <w:t xml:space="preserve">63.0</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41.0</w:t>
            </w:r>
          </w:p>
        </w:tc>
        <w:tc>
          <w:tcPr/>
          <w:p>
            <w:pPr>
              <w:pStyle w:val="Compact"/>
              <w:jc w:val="right"/>
            </w:pPr>
            <w:r>
              <w:t xml:space="preserve">NA</w:t>
            </w:r>
          </w:p>
        </w:tc>
        <w:tc>
          <w:tcPr/>
          <w:p>
            <w:pPr>
              <w:pStyle w:val="Compact"/>
              <w:jc w:val="right"/>
            </w:pPr>
            <w:r>
              <w:t xml:space="preserve">48.0</w:t>
            </w:r>
          </w:p>
        </w:tc>
        <w:tc>
          <w:tcPr/>
          <w:p>
            <w:pPr>
              <w:pStyle w:val="Compact"/>
              <w:jc w:val="right"/>
            </w:pPr>
            <w:r>
              <w:t xml:space="preserve">23.8</w:t>
            </w:r>
          </w:p>
        </w:tc>
        <w:tc>
          <w:tcPr/>
          <w:p>
            <w:pPr>
              <w:pStyle w:val="Compact"/>
              <w:jc w:val="right"/>
            </w:pPr>
            <w:r>
              <w:t xml:space="preserve">51.4</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ainen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ainen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ainen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ainen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Parainen (Kunnat)</dc:title>
  <dc:creator>Diakin karttasovellus 2022-02-22 22:52:23</dc:creator>
  <cp:keywords/>
  <dcterms:created xsi:type="dcterms:W3CDTF">2022-02-22T20:53:29Z</dcterms:created>
  <dcterms:modified xsi:type="dcterms:W3CDTF">2022-02-22T20:53:29Z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