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Pielisen</w:t>
      </w:r>
      <w:r>
        <w:t xml:space="preserve"> </w:t>
      </w:r>
      <w:r>
        <w:t xml:space="preserve">Karjala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Pielisen Karjala. Lisäksi tarkastelussa ovat rajanaapurit: Koillis-Savo, Joensuu, Pielisen Karjala, Kehys-Kainuu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elisen_karjal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elisen_karjal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115.3</w:t>
            </w:r>
          </w:p>
        </w:tc>
        <w:tc>
          <w:tcPr/>
          <w:p>
            <w:pPr>
              <w:pStyle w:val="Compact"/>
              <w:jc w:val="right"/>
            </w:pPr>
            <w:r>
              <w:t xml:space="preserve">14</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Kehys-Kainuu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127.7</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Kehys-Kainuu (naapuri)</w:t>
            </w:r>
          </w:p>
        </w:tc>
        <w:tc>
          <w:tcPr/>
          <w:p>
            <w:pPr>
              <w:pStyle w:val="Compact"/>
              <w:jc w:val="right"/>
            </w:pPr>
            <w:r>
              <w:t xml:space="preserve">95.7</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Kehys-Kainuu (naapuri)</w:t>
            </w:r>
          </w:p>
        </w:tc>
        <w:tc>
          <w:tcPr/>
          <w:p>
            <w:pPr>
              <w:pStyle w:val="Compact"/>
              <w:jc w:val="right"/>
            </w:pPr>
            <w:r>
              <w:t xml:space="preserve">106.5</w:t>
            </w:r>
          </w:p>
        </w:tc>
        <w:tc>
          <w:tcPr/>
          <w:p>
            <w:pPr>
              <w:pStyle w:val="Compact"/>
              <w:jc w:val="right"/>
            </w:pPr>
            <w:r>
              <w:t xml:space="preserve">25</w:t>
            </w:r>
          </w:p>
        </w:tc>
      </w:tr>
      <w:tr>
        <w:tc>
          <w:tcPr/>
          <w:p>
            <w:pPr>
              <w:pStyle w:val="Compact"/>
              <w:jc w:val="left"/>
            </w:pPr>
            <w:r>
              <w:t xml:space="preserve">Pielisen Karjala (valittu)</w:t>
            </w:r>
          </w:p>
        </w:tc>
        <w:tc>
          <w:tcPr/>
          <w:p>
            <w:pPr>
              <w:pStyle w:val="Compact"/>
              <w:jc w:val="right"/>
            </w:pPr>
            <w:r>
              <w:t xml:space="preserve">101.4</w:t>
            </w:r>
          </w:p>
        </w:tc>
        <w:tc>
          <w:tcPr/>
          <w:p>
            <w:pPr>
              <w:pStyle w:val="Compact"/>
              <w:jc w:val="right"/>
            </w:pPr>
            <w:r>
              <w:t xml:space="preserve">38</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Kehys-Kainuu (naapuri)</w:t>
            </w:r>
          </w:p>
        </w:tc>
        <w:tc>
          <w:tcPr/>
          <w:p>
            <w:pPr>
              <w:pStyle w:val="Compact"/>
              <w:jc w:val="right"/>
            </w:pPr>
            <w:r>
              <w:t xml:space="preserve">119.5</w:t>
            </w:r>
          </w:p>
        </w:tc>
        <w:tc>
          <w:tcPr/>
          <w:p>
            <w:pPr>
              <w:pStyle w:val="Compact"/>
              <w:jc w:val="right"/>
            </w:pPr>
            <w:r>
              <w:t xml:space="preserve">15</w:t>
            </w:r>
          </w:p>
        </w:tc>
      </w:tr>
      <w:tr>
        <w:tc>
          <w:tcPr/>
          <w:p>
            <w:pPr>
              <w:pStyle w:val="Compact"/>
              <w:jc w:val="left"/>
            </w:pPr>
            <w:r>
              <w:t xml:space="preserve">Pielisen Karjala (valittu)</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elisen_karjal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elisen_karjal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Pielisen Karjala (valittu)</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137.3</w:t>
            </w:r>
          </w:p>
        </w:tc>
        <w:tc>
          <w:tcPr/>
          <w:p>
            <w:pPr>
              <w:pStyle w:val="Compact"/>
              <w:jc w:val="right"/>
            </w:pPr>
            <w:r>
              <w:t xml:space="preserve">5</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107.4</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160.2</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Kehys-Kainuu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124.6</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Kehys-Kainuu (naapuri)</w:t>
            </w:r>
          </w:p>
        </w:tc>
        <w:tc>
          <w:tcPr/>
          <w:p>
            <w:pPr>
              <w:pStyle w:val="Compact"/>
              <w:jc w:val="right"/>
            </w:pPr>
            <w:r>
              <w:t xml:space="preserve">76.8</w:t>
            </w:r>
          </w:p>
        </w:tc>
        <w:tc>
          <w:tcPr/>
          <w:p>
            <w:pPr>
              <w:pStyle w:val="Compact"/>
              <w:jc w:val="right"/>
            </w:pPr>
            <w:r>
              <w:t xml:space="preserve">47</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Pielisen Karjala (valittu)</w:t>
            </w:r>
          </w:p>
        </w:tc>
        <w:tc>
          <w:tcPr/>
          <w:p>
            <w:pPr>
              <w:pStyle w:val="Compact"/>
              <w:jc w:val="right"/>
            </w:pPr>
            <w:r>
              <w:t xml:space="preserve">110.2</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Kehys-Kainuu (naapuri)</w:t>
            </w:r>
          </w:p>
        </w:tc>
        <w:tc>
          <w:tcPr/>
          <w:p>
            <w:pPr>
              <w:pStyle w:val="Compact"/>
              <w:jc w:val="right"/>
            </w:pPr>
            <w:r>
              <w:t xml:space="preserve">62.7</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132.9</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Kehys-Kainuu (naapuri)</w:t>
            </w:r>
          </w:p>
        </w:tc>
        <w:tc>
          <w:tcPr/>
          <w:p>
            <w:pPr>
              <w:pStyle w:val="Compact"/>
              <w:jc w:val="right"/>
            </w:pPr>
            <w:r>
              <w:t xml:space="preserve">121.0</w:t>
            </w:r>
          </w:p>
        </w:tc>
        <w:tc>
          <w:tcPr/>
          <w:p>
            <w:pPr>
              <w:pStyle w:val="Compact"/>
              <w:jc w:val="right"/>
            </w:pPr>
            <w:r>
              <w:t xml:space="preserve">8</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elisen_karjal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elisen_karjal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Kehys-Kainuu (naapuri)</w:t>
            </w:r>
          </w:p>
        </w:tc>
        <w:tc>
          <w:tcPr/>
          <w:p>
            <w:pPr>
              <w:pStyle w:val="Compact"/>
              <w:jc w:val="right"/>
            </w:pPr>
            <w:r>
              <w:t xml:space="preserve">108.3</w:t>
            </w:r>
          </w:p>
        </w:tc>
        <w:tc>
          <w:tcPr/>
          <w:p>
            <w:pPr>
              <w:pStyle w:val="Compact"/>
              <w:jc w:val="right"/>
            </w:pPr>
            <w:r>
              <w:t xml:space="preserve">27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Kehys-Kainuu (naapuri)</w:t>
            </w:r>
          </w:p>
        </w:tc>
        <w:tc>
          <w:tcPr/>
          <w:p>
            <w:pPr>
              <w:pStyle w:val="Compact"/>
              <w:jc w:val="right"/>
            </w:pPr>
            <w:r>
              <w:t xml:space="preserve">115.6</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Pielisen Karjala (valittu)</w:t>
            </w:r>
          </w:p>
        </w:tc>
        <w:tc>
          <w:tcPr/>
          <w:p>
            <w:pPr>
              <w:pStyle w:val="Compact"/>
              <w:jc w:val="right"/>
            </w:pPr>
            <w:r>
              <w:t xml:space="preserve">81.4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Pielisen Karjala (valittu)</w:t>
            </w:r>
          </w:p>
        </w:tc>
        <w:tc>
          <w:tcPr/>
          <w:p>
            <w:pPr>
              <w:pStyle w:val="Compact"/>
              <w:jc w:val="right"/>
            </w:pPr>
            <w:r>
              <w:t xml:space="preserve">90.1</w:t>
            </w:r>
          </w:p>
        </w:tc>
        <w:tc>
          <w:tcPr/>
          <w:p>
            <w:pPr>
              <w:pStyle w:val="Compact"/>
              <w:jc w:val="right"/>
            </w:pPr>
            <w:r>
              <w:t xml:space="preserve">47</w:t>
            </w:r>
          </w:p>
        </w:tc>
      </w:tr>
      <w:tr>
        <w:tc>
          <w:tcPr/>
          <w:p>
            <w:pPr>
              <w:pStyle w:val="Compact"/>
              <w:jc w:val="left"/>
            </w:pPr>
            <w:r>
              <w:t xml:space="preserve">Kehys-Kainuu (naapuri)</w:t>
            </w:r>
          </w:p>
        </w:tc>
        <w:tc>
          <w:tcPr/>
          <w:p>
            <w:pPr>
              <w:pStyle w:val="Compact"/>
              <w:jc w:val="right"/>
            </w:pPr>
            <w:r>
              <w:t xml:space="preserve">86.9</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115.1</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Pielisen Karjala (valittu)</w:t>
            </w:r>
          </w:p>
        </w:tc>
        <w:tc>
          <w:tcPr/>
          <w:p>
            <w:pPr>
              <w:pStyle w:val="Compact"/>
              <w:jc w:val="right"/>
            </w:pPr>
            <w:r>
              <w:t xml:space="preserve">90.3</w:t>
            </w:r>
          </w:p>
        </w:tc>
        <w:tc>
          <w:tcPr/>
          <w:p>
            <w:pPr>
              <w:pStyle w:val="Compact"/>
              <w:jc w:val="right"/>
            </w:pPr>
            <w:r>
              <w:t xml:space="preserve">48</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elisen_karjal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elisen_karjal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160.0</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Kehys-Kainuu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Pielisen Karjala (valittu)</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82.8</w:t>
            </w:r>
          </w:p>
        </w:tc>
        <w:tc>
          <w:tcPr/>
          <w:p>
            <w:pPr>
              <w:pStyle w:val="Compact"/>
              <w:jc w:val="right"/>
            </w:pPr>
            <w:r>
              <w:t xml:space="preserve">48</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Kehys-Kainuu (naapuri)</w:t>
            </w:r>
          </w:p>
        </w:tc>
        <w:tc>
          <w:tcPr/>
          <w:p>
            <w:pPr>
              <w:pStyle w:val="Compact"/>
              <w:jc w:val="right"/>
            </w:pPr>
            <w:r>
              <w:t xml:space="preserve">184.0</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Pielisen Karjala (valittu)</w:t>
            </w:r>
          </w:p>
        </w:tc>
        <w:tc>
          <w:tcPr/>
          <w:p>
            <w:pPr>
              <w:pStyle w:val="Compact"/>
              <w:jc w:val="right"/>
            </w:pPr>
            <w:r>
              <w:t xml:space="preserve">86.3</w:t>
            </w:r>
          </w:p>
        </w:tc>
        <w:tc>
          <w:tcPr/>
          <w:p>
            <w:pPr>
              <w:pStyle w:val="Compact"/>
              <w:jc w:val="right"/>
            </w:pPr>
            <w:r>
              <w:t xml:space="preserve">46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148.3</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Kehys-Kainuu (naapuri)</w:t>
            </w:r>
          </w:p>
        </w:tc>
        <w:tc>
          <w:tcPr/>
          <w:p>
            <w:pPr>
              <w:pStyle w:val="Compact"/>
              <w:jc w:val="right"/>
            </w:pPr>
            <w:r>
              <w:t xml:space="preserve">109.0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Kehys-Kainuu (naapuri)</w:t>
            </w:r>
          </w:p>
        </w:tc>
        <w:tc>
          <w:tcPr/>
          <w:p>
            <w:pPr>
              <w:pStyle w:val="Compact"/>
              <w:jc w:val="right"/>
            </w:pPr>
            <w:r>
              <w:t xml:space="preserve">121.4</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Pielisen Karjala (valittu)</w:t>
            </w:r>
          </w:p>
        </w:tc>
        <w:tc>
          <w:tcPr/>
          <w:p>
            <w:pPr>
              <w:pStyle w:val="Compact"/>
              <w:jc w:val="right"/>
            </w:pPr>
            <w:r>
              <w:t xml:space="preserve">78.6</w:t>
            </w:r>
          </w:p>
        </w:tc>
        <w:tc>
          <w:tcPr/>
          <w:p>
            <w:pPr>
              <w:pStyle w:val="Compact"/>
              <w:jc w:val="right"/>
            </w:pPr>
            <w:r>
              <w:t xml:space="preserve">52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elisen_karjal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165.1</w:t>
            </w:r>
          </w:p>
        </w:tc>
        <w:tc>
          <w:tcPr/>
          <w:p>
            <w:pPr>
              <w:pStyle w:val="Compact"/>
              <w:jc w:val="right"/>
            </w:pPr>
            <w:r>
              <w:t xml:space="preserve">NA</w:t>
            </w:r>
          </w:p>
        </w:tc>
        <w:tc>
          <w:tcPr/>
          <w:p>
            <w:pPr>
              <w:pStyle w:val="Compact"/>
              <w:jc w:val="right"/>
            </w:pPr>
            <w:r>
              <w:t xml:space="preserve">160.6</w:t>
            </w:r>
          </w:p>
        </w:tc>
        <w:tc>
          <w:tcPr/>
          <w:p>
            <w:pPr>
              <w:pStyle w:val="Compact"/>
              <w:jc w:val="right"/>
            </w:pPr>
            <w:r>
              <w:t xml:space="preserve">182.0</w:t>
            </w:r>
          </w:p>
        </w:tc>
        <w:tc>
          <w:tcPr/>
          <w:p>
            <w:pPr>
              <w:pStyle w:val="Compact"/>
              <w:jc w:val="right"/>
            </w:pPr>
            <w:r>
              <w:t xml:space="preserve">152.5</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162.7</w:t>
            </w:r>
          </w:p>
        </w:tc>
        <w:tc>
          <w:tcPr/>
          <w:p>
            <w:pPr>
              <w:pStyle w:val="Compact"/>
              <w:jc w:val="right"/>
            </w:pPr>
            <w:r>
              <w:t xml:space="preserve">176.7</w:t>
            </w:r>
          </w:p>
        </w:tc>
        <w:tc>
          <w:tcPr/>
          <w:p>
            <w:pPr>
              <w:pStyle w:val="Compact"/>
              <w:jc w:val="right"/>
            </w:pPr>
            <w:r>
              <w:t xml:space="preserve">161.8</w:t>
            </w:r>
          </w:p>
        </w:tc>
        <w:tc>
          <w:tcPr/>
          <w:p>
            <w:pPr>
              <w:pStyle w:val="Compact"/>
              <w:jc w:val="right"/>
            </w:pPr>
            <w:r>
              <w:t xml:space="preserve">196.2</w:t>
            </w:r>
          </w:p>
        </w:tc>
        <w:tc>
          <w:tcPr/>
          <w:p>
            <w:pPr>
              <w:pStyle w:val="Compact"/>
              <w:jc w:val="right"/>
            </w:pPr>
            <w:r>
              <w:t xml:space="preserve">115.9</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151.2</w:t>
            </w:r>
          </w:p>
        </w:tc>
        <w:tc>
          <w:tcPr/>
          <w:p>
            <w:pPr>
              <w:pStyle w:val="Compact"/>
              <w:jc w:val="right"/>
            </w:pPr>
            <w:r>
              <w:t xml:space="preserve">153.1</w:t>
            </w:r>
          </w:p>
        </w:tc>
        <w:tc>
          <w:tcPr/>
          <w:p>
            <w:pPr>
              <w:pStyle w:val="Compact"/>
              <w:jc w:val="right"/>
            </w:pPr>
            <w:r>
              <w:t xml:space="preserve">139.5</w:t>
            </w:r>
          </w:p>
        </w:tc>
        <w:tc>
          <w:tcPr/>
          <w:p>
            <w:pPr>
              <w:pStyle w:val="Compact"/>
              <w:jc w:val="right"/>
            </w:pPr>
            <w:r>
              <w:t xml:space="preserve">170.7</w:t>
            </w:r>
          </w:p>
        </w:tc>
        <w:tc>
          <w:tcPr/>
          <w:p>
            <w:pPr>
              <w:pStyle w:val="Compact"/>
              <w:jc w:val="right"/>
            </w:pPr>
            <w:r>
              <w:t xml:space="preserve">141.4</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149.9</w:t>
            </w:r>
          </w:p>
        </w:tc>
        <w:tc>
          <w:tcPr/>
          <w:p>
            <w:pPr>
              <w:pStyle w:val="Compact"/>
              <w:jc w:val="right"/>
            </w:pPr>
            <w:r>
              <w:t xml:space="preserve">157.7</w:t>
            </w:r>
          </w:p>
        </w:tc>
        <w:tc>
          <w:tcPr/>
          <w:p>
            <w:pPr>
              <w:pStyle w:val="Compact"/>
              <w:jc w:val="right"/>
            </w:pPr>
            <w:r>
              <w:t xml:space="preserve">179.8</w:t>
            </w:r>
          </w:p>
        </w:tc>
        <w:tc>
          <w:tcPr/>
          <w:p>
            <w:pPr>
              <w:pStyle w:val="Compact"/>
              <w:jc w:val="right"/>
            </w:pPr>
            <w:r>
              <w:t xml:space="preserve">123.5</w:t>
            </w:r>
          </w:p>
        </w:tc>
        <w:tc>
          <w:tcPr/>
          <w:p>
            <w:pPr>
              <w:pStyle w:val="Compact"/>
              <w:jc w:val="right"/>
            </w:pPr>
            <w:r>
              <w:t xml:space="preserve">138.8</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146.3</w:t>
            </w:r>
          </w:p>
        </w:tc>
        <w:tc>
          <w:tcPr/>
          <w:p>
            <w:pPr>
              <w:pStyle w:val="Compact"/>
              <w:jc w:val="right"/>
            </w:pPr>
            <w:r>
              <w:t xml:space="preserve">140.5</w:t>
            </w:r>
          </w:p>
        </w:tc>
        <w:tc>
          <w:tcPr/>
          <w:p>
            <w:pPr>
              <w:pStyle w:val="Compact"/>
              <w:jc w:val="right"/>
            </w:pPr>
            <w:r>
              <w:t xml:space="preserve">150.3</w:t>
            </w:r>
          </w:p>
        </w:tc>
        <w:tc>
          <w:tcPr/>
          <w:p>
            <w:pPr>
              <w:pStyle w:val="Compact"/>
              <w:jc w:val="right"/>
            </w:pPr>
            <w:r>
              <w:t xml:space="preserve">161.9</w:t>
            </w:r>
          </w:p>
        </w:tc>
        <w:tc>
          <w:tcPr/>
          <w:p>
            <w:pPr>
              <w:pStyle w:val="Compact"/>
              <w:jc w:val="right"/>
            </w:pPr>
            <w:r>
              <w:t xml:space="preserve">132.3</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143.6</w:t>
            </w:r>
          </w:p>
        </w:tc>
        <w:tc>
          <w:tcPr/>
          <w:p>
            <w:pPr>
              <w:pStyle w:val="Compact"/>
              <w:jc w:val="right"/>
            </w:pPr>
            <w:r>
              <w:t xml:space="preserve">130.1</w:t>
            </w:r>
          </w:p>
        </w:tc>
        <w:tc>
          <w:tcPr/>
          <w:p>
            <w:pPr>
              <w:pStyle w:val="Compact"/>
              <w:jc w:val="right"/>
            </w:pPr>
            <w:r>
              <w:t xml:space="preserve">130.1</w:t>
            </w:r>
          </w:p>
        </w:tc>
        <w:tc>
          <w:tcPr/>
          <w:p>
            <w:pPr>
              <w:pStyle w:val="Compact"/>
              <w:jc w:val="right"/>
            </w:pPr>
            <w:r>
              <w:t xml:space="preserve">171.4</w:t>
            </w:r>
          </w:p>
        </w:tc>
        <w:tc>
          <w:tcPr/>
          <w:p>
            <w:pPr>
              <w:pStyle w:val="Compact"/>
              <w:jc w:val="right"/>
            </w:pPr>
            <w:r>
              <w:t xml:space="preserve">142.8</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141.0</w:t>
            </w:r>
          </w:p>
        </w:tc>
        <w:tc>
          <w:tcPr/>
          <w:p>
            <w:pPr>
              <w:pStyle w:val="Compact"/>
              <w:jc w:val="right"/>
            </w:pPr>
            <w:r>
              <w:t xml:space="preserve">153.1</w:t>
            </w:r>
          </w:p>
        </w:tc>
        <w:tc>
          <w:tcPr/>
          <w:p>
            <w:pPr>
              <w:pStyle w:val="Compact"/>
              <w:jc w:val="right"/>
            </w:pPr>
            <w:r>
              <w:t xml:space="preserve">162.9</w:t>
            </w:r>
          </w:p>
        </w:tc>
        <w:tc>
          <w:tcPr/>
          <w:p>
            <w:pPr>
              <w:pStyle w:val="Compact"/>
              <w:jc w:val="right"/>
            </w:pPr>
            <w:r>
              <w:t xml:space="preserve">118.7</w:t>
            </w:r>
          </w:p>
        </w:tc>
        <w:tc>
          <w:tcPr/>
          <w:p>
            <w:pPr>
              <w:pStyle w:val="Compact"/>
              <w:jc w:val="right"/>
            </w:pPr>
            <w:r>
              <w:t xml:space="preserve">129.6</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140.0</w:t>
            </w:r>
          </w:p>
        </w:tc>
        <w:tc>
          <w:tcPr/>
          <w:p>
            <w:pPr>
              <w:pStyle w:val="Compact"/>
              <w:jc w:val="right"/>
            </w:pPr>
            <w:r>
              <w:t xml:space="preserve">161.0</w:t>
            </w:r>
          </w:p>
        </w:tc>
        <w:tc>
          <w:tcPr/>
          <w:p>
            <w:pPr>
              <w:pStyle w:val="Compact"/>
              <w:jc w:val="right"/>
            </w:pPr>
            <w:r>
              <w:t xml:space="preserve">135.2</w:t>
            </w:r>
          </w:p>
        </w:tc>
        <w:tc>
          <w:tcPr/>
          <w:p>
            <w:pPr>
              <w:pStyle w:val="Compact"/>
              <w:jc w:val="right"/>
            </w:pPr>
            <w:r>
              <w:t xml:space="preserve">113.9</w:t>
            </w:r>
          </w:p>
        </w:tc>
        <w:tc>
          <w:tcPr/>
          <w:p>
            <w:pPr>
              <w:pStyle w:val="Compact"/>
              <w:jc w:val="right"/>
            </w:pPr>
            <w:r>
              <w:t xml:space="preserve">150.1</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139.7</w:t>
            </w:r>
          </w:p>
        </w:tc>
        <w:tc>
          <w:tcPr/>
          <w:p>
            <w:pPr>
              <w:pStyle w:val="Compact"/>
              <w:jc w:val="right"/>
            </w:pPr>
            <w:r>
              <w:t xml:space="preserve">147.4</w:t>
            </w:r>
          </w:p>
        </w:tc>
        <w:tc>
          <w:tcPr/>
          <w:p>
            <w:pPr>
              <w:pStyle w:val="Compact"/>
              <w:jc w:val="right"/>
            </w:pPr>
            <w:r>
              <w:t xml:space="preserve">143.9</w:t>
            </w:r>
          </w:p>
        </w:tc>
        <w:tc>
          <w:tcPr/>
          <w:p>
            <w:pPr>
              <w:pStyle w:val="Compact"/>
              <w:jc w:val="right"/>
            </w:pPr>
            <w:r>
              <w:t xml:space="preserve">154.1</w:t>
            </w:r>
          </w:p>
        </w:tc>
        <w:tc>
          <w:tcPr/>
          <w:p>
            <w:pPr>
              <w:pStyle w:val="Compact"/>
              <w:jc w:val="right"/>
            </w:pPr>
            <w:r>
              <w:t xml:space="preserve">113.4</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138.8</w:t>
            </w:r>
          </w:p>
        </w:tc>
        <w:tc>
          <w:tcPr/>
          <w:p>
            <w:pPr>
              <w:pStyle w:val="Compact"/>
              <w:jc w:val="right"/>
            </w:pPr>
            <w:r>
              <w:t xml:space="preserve">141.0</w:t>
            </w:r>
          </w:p>
        </w:tc>
        <w:tc>
          <w:tcPr/>
          <w:p>
            <w:pPr>
              <w:pStyle w:val="Compact"/>
              <w:jc w:val="right"/>
            </w:pPr>
            <w:r>
              <w:t xml:space="preserve">130.5</w:t>
            </w:r>
          </w:p>
        </w:tc>
        <w:tc>
          <w:tcPr/>
          <w:p>
            <w:pPr>
              <w:pStyle w:val="Compact"/>
              <w:jc w:val="right"/>
            </w:pPr>
            <w:r>
              <w:t xml:space="preserve">179.8</w:t>
            </w:r>
          </w:p>
        </w:tc>
        <w:tc>
          <w:tcPr/>
          <w:p>
            <w:pPr>
              <w:pStyle w:val="Compact"/>
              <w:jc w:val="right"/>
            </w:pPr>
            <w:r>
              <w:t xml:space="preserve">103.9</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135.4</w:t>
            </w:r>
          </w:p>
        </w:tc>
        <w:tc>
          <w:tcPr/>
          <w:p>
            <w:pPr>
              <w:pStyle w:val="Compact"/>
              <w:jc w:val="right"/>
            </w:pPr>
            <w:r>
              <w:t xml:space="preserve">141.0</w:t>
            </w:r>
          </w:p>
        </w:tc>
        <w:tc>
          <w:tcPr/>
          <w:p>
            <w:pPr>
              <w:pStyle w:val="Compact"/>
              <w:jc w:val="right"/>
            </w:pPr>
            <w:r>
              <w:t xml:space="preserve">143.0</w:t>
            </w:r>
          </w:p>
        </w:tc>
        <w:tc>
          <w:tcPr/>
          <w:p>
            <w:pPr>
              <w:pStyle w:val="Compact"/>
              <w:jc w:val="right"/>
            </w:pPr>
            <w:r>
              <w:t xml:space="preserve">118.3</w:t>
            </w:r>
          </w:p>
        </w:tc>
        <w:tc>
          <w:tcPr/>
          <w:p>
            <w:pPr>
              <w:pStyle w:val="Compact"/>
              <w:jc w:val="right"/>
            </w:pPr>
            <w:r>
              <w:t xml:space="preserve">139.1</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131.9</w:t>
            </w:r>
          </w:p>
        </w:tc>
        <w:tc>
          <w:tcPr/>
          <w:p>
            <w:pPr>
              <w:pStyle w:val="Compact"/>
              <w:jc w:val="right"/>
            </w:pPr>
            <w:r>
              <w:t xml:space="preserve">106.5</w:t>
            </w:r>
          </w:p>
        </w:tc>
        <w:tc>
          <w:tcPr/>
          <w:p>
            <w:pPr>
              <w:pStyle w:val="Compact"/>
              <w:jc w:val="right"/>
            </w:pPr>
            <w:r>
              <w:t xml:space="preserve">181.7</w:t>
            </w:r>
          </w:p>
        </w:tc>
        <w:tc>
          <w:tcPr/>
          <w:p>
            <w:pPr>
              <w:pStyle w:val="Compact"/>
              <w:jc w:val="right"/>
            </w:pPr>
            <w:r>
              <w:t xml:space="preserve">118.0</w:t>
            </w:r>
          </w:p>
        </w:tc>
        <w:tc>
          <w:tcPr/>
          <w:p>
            <w:pPr>
              <w:pStyle w:val="Compact"/>
              <w:jc w:val="right"/>
            </w:pPr>
            <w:r>
              <w:t xml:space="preserve">121.1</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130.2</w:t>
            </w:r>
          </w:p>
        </w:tc>
        <w:tc>
          <w:tcPr/>
          <w:p>
            <w:pPr>
              <w:pStyle w:val="Compact"/>
              <w:jc w:val="right"/>
            </w:pPr>
            <w:r>
              <w:t xml:space="preserve">112.6</w:t>
            </w:r>
          </w:p>
        </w:tc>
        <w:tc>
          <w:tcPr/>
          <w:p>
            <w:pPr>
              <w:pStyle w:val="Compact"/>
              <w:jc w:val="right"/>
            </w:pPr>
            <w:r>
              <w:t xml:space="preserve">118.2</w:t>
            </w:r>
          </w:p>
        </w:tc>
        <w:tc>
          <w:tcPr/>
          <w:p>
            <w:pPr>
              <w:pStyle w:val="Compact"/>
              <w:jc w:val="right"/>
            </w:pPr>
            <w:r>
              <w:t xml:space="preserve">168.9</w:t>
            </w:r>
          </w:p>
        </w:tc>
        <w:tc>
          <w:tcPr/>
          <w:p>
            <w:pPr>
              <w:pStyle w:val="Compact"/>
              <w:jc w:val="right"/>
            </w:pPr>
            <w:r>
              <w:t xml:space="preserve">121.1</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127.1</w:t>
            </w:r>
          </w:p>
        </w:tc>
        <w:tc>
          <w:tcPr/>
          <w:p>
            <w:pPr>
              <w:pStyle w:val="Compact"/>
              <w:jc w:val="right"/>
            </w:pPr>
            <w:r>
              <w:t xml:space="preserve">105.2</w:t>
            </w:r>
          </w:p>
        </w:tc>
        <w:tc>
          <w:tcPr/>
          <w:p>
            <w:pPr>
              <w:pStyle w:val="Compact"/>
              <w:jc w:val="right"/>
            </w:pPr>
            <w:r>
              <w:t xml:space="preserve">124.7</w:t>
            </w:r>
          </w:p>
        </w:tc>
        <w:tc>
          <w:tcPr/>
          <w:p>
            <w:pPr>
              <w:pStyle w:val="Compact"/>
              <w:jc w:val="right"/>
            </w:pPr>
            <w:r>
              <w:t xml:space="preserve">164.5</w:t>
            </w:r>
          </w:p>
        </w:tc>
        <w:tc>
          <w:tcPr/>
          <w:p>
            <w:pPr>
              <w:pStyle w:val="Compact"/>
              <w:jc w:val="right"/>
            </w:pPr>
            <w:r>
              <w:t xml:space="preserve">113.9</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126.2</w:t>
            </w:r>
          </w:p>
        </w:tc>
        <w:tc>
          <w:tcPr/>
          <w:p>
            <w:pPr>
              <w:pStyle w:val="Compact"/>
              <w:jc w:val="right"/>
            </w:pPr>
            <w:r>
              <w:t xml:space="preserve">149.9</w:t>
            </w:r>
          </w:p>
        </w:tc>
        <w:tc>
          <w:tcPr/>
          <w:p>
            <w:pPr>
              <w:pStyle w:val="Compact"/>
              <w:jc w:val="right"/>
            </w:pPr>
            <w:r>
              <w:t xml:space="preserve">112.0</w:t>
            </w:r>
          </w:p>
        </w:tc>
        <w:tc>
          <w:tcPr/>
          <w:p>
            <w:pPr>
              <w:pStyle w:val="Compact"/>
              <w:jc w:val="right"/>
            </w:pPr>
            <w:r>
              <w:t xml:space="preserve">120.7</w:t>
            </w:r>
          </w:p>
        </w:tc>
        <w:tc>
          <w:tcPr/>
          <w:p>
            <w:pPr>
              <w:pStyle w:val="Compact"/>
              <w:jc w:val="right"/>
            </w:pPr>
            <w:r>
              <w:t xml:space="preserve">122.1</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122.7</w:t>
            </w:r>
          </w:p>
        </w:tc>
        <w:tc>
          <w:tcPr/>
          <w:p>
            <w:pPr>
              <w:pStyle w:val="Compact"/>
              <w:jc w:val="right"/>
            </w:pPr>
            <w:r>
              <w:t xml:space="preserve">121.9</w:t>
            </w:r>
          </w:p>
        </w:tc>
        <w:tc>
          <w:tcPr/>
          <w:p>
            <w:pPr>
              <w:pStyle w:val="Compact"/>
              <w:jc w:val="right"/>
            </w:pPr>
            <w:r>
              <w:t xml:space="preserve">143.5</w:t>
            </w:r>
          </w:p>
        </w:tc>
        <w:tc>
          <w:tcPr/>
          <w:p>
            <w:pPr>
              <w:pStyle w:val="Compact"/>
              <w:jc w:val="right"/>
            </w:pPr>
            <w:r>
              <w:t xml:space="preserve">103.0</w:t>
            </w:r>
          </w:p>
        </w:tc>
        <w:tc>
          <w:tcPr/>
          <w:p>
            <w:pPr>
              <w:pStyle w:val="Compact"/>
              <w:jc w:val="right"/>
            </w:pPr>
            <w:r>
              <w:t xml:space="preserve">122.4</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121.5</w:t>
            </w:r>
          </w:p>
        </w:tc>
        <w:tc>
          <w:tcPr/>
          <w:p>
            <w:pPr>
              <w:pStyle w:val="Compact"/>
              <w:jc w:val="right"/>
            </w:pPr>
            <w:r>
              <w:t xml:space="preserve">136.6</w:t>
            </w:r>
          </w:p>
        </w:tc>
        <w:tc>
          <w:tcPr/>
          <w:p>
            <w:pPr>
              <w:pStyle w:val="Compact"/>
              <w:jc w:val="right"/>
            </w:pPr>
            <w:r>
              <w:t xml:space="preserve">134.1</w:t>
            </w:r>
          </w:p>
        </w:tc>
        <w:tc>
          <w:tcPr/>
          <w:p>
            <w:pPr>
              <w:pStyle w:val="Compact"/>
              <w:jc w:val="right"/>
            </w:pPr>
            <w:r>
              <w:t xml:space="preserve">121.9</w:t>
            </w:r>
          </w:p>
        </w:tc>
        <w:tc>
          <w:tcPr/>
          <w:p>
            <w:pPr>
              <w:pStyle w:val="Compact"/>
              <w:jc w:val="right"/>
            </w:pPr>
            <w:r>
              <w:t xml:space="preserve">93.4</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120.8</w:t>
            </w:r>
          </w:p>
        </w:tc>
        <w:tc>
          <w:tcPr/>
          <w:p>
            <w:pPr>
              <w:pStyle w:val="Compact"/>
              <w:jc w:val="right"/>
            </w:pPr>
            <w:r>
              <w:t xml:space="preserve">137.3</w:t>
            </w:r>
          </w:p>
        </w:tc>
        <w:tc>
          <w:tcPr/>
          <w:p>
            <w:pPr>
              <w:pStyle w:val="Compact"/>
              <w:jc w:val="right"/>
            </w:pPr>
            <w:r>
              <w:t xml:space="preserve">114.8</w:t>
            </w:r>
          </w:p>
        </w:tc>
        <w:tc>
          <w:tcPr/>
          <w:p>
            <w:pPr>
              <w:pStyle w:val="Compact"/>
              <w:jc w:val="right"/>
            </w:pPr>
            <w:r>
              <w:t xml:space="preserve">123.5</w:t>
            </w:r>
          </w:p>
        </w:tc>
        <w:tc>
          <w:tcPr/>
          <w:p>
            <w:pPr>
              <w:pStyle w:val="Compact"/>
              <w:jc w:val="right"/>
            </w:pPr>
            <w:r>
              <w:t xml:space="preserve">107.4</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118.4</w:t>
            </w:r>
          </w:p>
        </w:tc>
        <w:tc>
          <w:tcPr/>
          <w:p>
            <w:pPr>
              <w:pStyle w:val="Compact"/>
              <w:jc w:val="right"/>
            </w:pPr>
            <w:r>
              <w:t xml:space="preserve">124.1</w:t>
            </w:r>
          </w:p>
        </w:tc>
        <w:tc>
          <w:tcPr/>
          <w:p>
            <w:pPr>
              <w:pStyle w:val="Compact"/>
              <w:jc w:val="right"/>
            </w:pPr>
            <w:r>
              <w:t xml:space="preserve">163.1</w:t>
            </w:r>
          </w:p>
        </w:tc>
        <w:tc>
          <w:tcPr/>
          <w:p>
            <w:pPr>
              <w:pStyle w:val="Compact"/>
              <w:jc w:val="right"/>
            </w:pPr>
            <w:r>
              <w:t xml:space="preserve">89.4</w:t>
            </w:r>
          </w:p>
        </w:tc>
        <w:tc>
          <w:tcPr/>
          <w:p>
            <w:pPr>
              <w:pStyle w:val="Compact"/>
              <w:jc w:val="right"/>
            </w:pPr>
            <w:r>
              <w:t xml:space="preserve">97.0</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114.0</w:t>
            </w:r>
          </w:p>
        </w:tc>
        <w:tc>
          <w:tcPr/>
          <w:p>
            <w:pPr>
              <w:pStyle w:val="Compact"/>
              <w:jc w:val="right"/>
            </w:pPr>
            <w:r>
              <w:t xml:space="preserve">134.9</w:t>
            </w:r>
          </w:p>
        </w:tc>
        <w:tc>
          <w:tcPr/>
          <w:p>
            <w:pPr>
              <w:pStyle w:val="Compact"/>
              <w:jc w:val="right"/>
            </w:pPr>
            <w:r>
              <w:t xml:space="preserve">101.9</w:t>
            </w:r>
          </w:p>
        </w:tc>
        <w:tc>
          <w:tcPr/>
          <w:p>
            <w:pPr>
              <w:pStyle w:val="Compact"/>
              <w:jc w:val="right"/>
            </w:pPr>
            <w:r>
              <w:t xml:space="preserve">110.8</w:t>
            </w:r>
          </w:p>
        </w:tc>
        <w:tc>
          <w:tcPr/>
          <w:p>
            <w:pPr>
              <w:pStyle w:val="Compact"/>
              <w:jc w:val="right"/>
            </w:pPr>
            <w:r>
              <w:t xml:space="preserve">108.3</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112.1</w:t>
            </w:r>
          </w:p>
        </w:tc>
        <w:tc>
          <w:tcPr/>
          <w:p>
            <w:pPr>
              <w:pStyle w:val="Compact"/>
              <w:jc w:val="right"/>
            </w:pPr>
            <w:r>
              <w:t xml:space="preserve">145.0</w:t>
            </w:r>
          </w:p>
        </w:tc>
        <w:tc>
          <w:tcPr/>
          <w:p>
            <w:pPr>
              <w:pStyle w:val="Compact"/>
              <w:jc w:val="right"/>
            </w:pPr>
            <w:r>
              <w:t xml:space="preserve">102.6</w:t>
            </w:r>
          </w:p>
        </w:tc>
        <w:tc>
          <w:tcPr/>
          <w:p>
            <w:pPr>
              <w:pStyle w:val="Compact"/>
              <w:jc w:val="right"/>
            </w:pPr>
            <w:r>
              <w:t xml:space="preserve">94.4</w:t>
            </w:r>
          </w:p>
        </w:tc>
        <w:tc>
          <w:tcPr/>
          <w:p>
            <w:pPr>
              <w:pStyle w:val="Compact"/>
              <w:jc w:val="right"/>
            </w:pPr>
            <w:r>
              <w:t xml:space="preserve">106.2</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109.4</w:t>
            </w:r>
          </w:p>
        </w:tc>
        <w:tc>
          <w:tcPr/>
          <w:p>
            <w:pPr>
              <w:pStyle w:val="Compact"/>
              <w:jc w:val="right"/>
            </w:pPr>
            <w:r>
              <w:t xml:space="preserve">82.0</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93.7</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104.3</w:t>
            </w:r>
          </w:p>
        </w:tc>
        <w:tc>
          <w:tcPr/>
          <w:p>
            <w:pPr>
              <w:pStyle w:val="Compact"/>
              <w:jc w:val="right"/>
            </w:pPr>
            <w:r>
              <w:t xml:space="preserve">112.6</w:t>
            </w:r>
          </w:p>
        </w:tc>
        <w:tc>
          <w:tcPr/>
          <w:p>
            <w:pPr>
              <w:pStyle w:val="Compact"/>
              <w:jc w:val="right"/>
            </w:pPr>
            <w:r>
              <w:t xml:space="preserve">127.3</w:t>
            </w:r>
          </w:p>
        </w:tc>
        <w:tc>
          <w:tcPr/>
          <w:p>
            <w:pPr>
              <w:pStyle w:val="Compact"/>
              <w:jc w:val="right"/>
            </w:pPr>
            <w:r>
              <w:t xml:space="preserve">68.5</w:t>
            </w:r>
          </w:p>
        </w:tc>
        <w:tc>
          <w:tcPr/>
          <w:p>
            <w:pPr>
              <w:pStyle w:val="Compact"/>
              <w:jc w:val="right"/>
            </w:pPr>
            <w:r>
              <w:t xml:space="preserve">109.0</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90.9</w:t>
            </w:r>
          </w:p>
        </w:tc>
        <w:tc>
          <w:tcPr/>
          <w:p>
            <w:pPr>
              <w:pStyle w:val="Compact"/>
              <w:jc w:val="right"/>
            </w:pPr>
            <w:r>
              <w:t xml:space="preserve">91.9</w:t>
            </w:r>
          </w:p>
        </w:tc>
        <w:tc>
          <w:tcPr/>
          <w:p>
            <w:pPr>
              <w:pStyle w:val="Compact"/>
              <w:jc w:val="right"/>
            </w:pPr>
            <w:r>
              <w:t xml:space="preserve">96.9</w:t>
            </w:r>
          </w:p>
        </w:tc>
        <w:tc>
          <w:tcPr/>
          <w:p>
            <w:pPr>
              <w:pStyle w:val="Compact"/>
              <w:jc w:val="right"/>
            </w:pPr>
            <w:r>
              <w:t xml:space="preserve">105.3</w:t>
            </w:r>
          </w:p>
        </w:tc>
        <w:tc>
          <w:tcPr/>
          <w:p>
            <w:pPr>
              <w:pStyle w:val="Compact"/>
              <w:jc w:val="right"/>
            </w:pPr>
            <w:r>
              <w:t xml:space="preserve">69.5</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87.2</w:t>
            </w:r>
          </w:p>
        </w:tc>
        <w:tc>
          <w:tcPr/>
          <w:p>
            <w:pPr>
              <w:pStyle w:val="Compact"/>
              <w:jc w:val="right"/>
            </w:pPr>
            <w:r>
              <w:t xml:space="preserve">81.1</w:t>
            </w:r>
          </w:p>
        </w:tc>
        <w:tc>
          <w:tcPr/>
          <w:p>
            <w:pPr>
              <w:pStyle w:val="Compact"/>
              <w:jc w:val="right"/>
            </w:pPr>
            <w:r>
              <w:t xml:space="preserve">78.6</w:t>
            </w:r>
          </w:p>
        </w:tc>
        <w:tc>
          <w:tcPr/>
          <w:p>
            <w:pPr>
              <w:pStyle w:val="Compact"/>
              <w:jc w:val="right"/>
            </w:pPr>
            <w:r>
              <w:t xml:space="preserve">102.1</w:t>
            </w:r>
          </w:p>
        </w:tc>
        <w:tc>
          <w:tcPr/>
          <w:p>
            <w:pPr>
              <w:pStyle w:val="Compact"/>
              <w:jc w:val="right"/>
            </w:pPr>
            <w:r>
              <w:t xml:space="preserve">86.8</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83.9</w:t>
            </w:r>
          </w:p>
        </w:tc>
        <w:tc>
          <w:tcPr/>
          <w:p>
            <w:pPr>
              <w:pStyle w:val="Compact"/>
              <w:jc w:val="right"/>
            </w:pPr>
            <w:r>
              <w:t xml:space="preserve">83.8</w:t>
            </w:r>
          </w:p>
        </w:tc>
        <w:tc>
          <w:tcPr/>
          <w:p>
            <w:pPr>
              <w:pStyle w:val="Compact"/>
              <w:jc w:val="right"/>
            </w:pPr>
            <w:r>
              <w:t xml:space="preserve">93.4</w:t>
            </w:r>
          </w:p>
        </w:tc>
        <w:tc>
          <w:tcPr/>
          <w:p>
            <w:pPr>
              <w:pStyle w:val="Compact"/>
              <w:jc w:val="right"/>
            </w:pPr>
            <w:r>
              <w:t xml:space="preserve">85.0</w:t>
            </w:r>
          </w:p>
        </w:tc>
        <w:tc>
          <w:tcPr/>
          <w:p>
            <w:pPr>
              <w:pStyle w:val="Compact"/>
              <w:jc w:val="right"/>
            </w:pPr>
            <w:r>
              <w:t xml:space="preserve">73.4</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elisen_karjal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elisen_karjal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elisen_karjal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elisen_karjal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Pielisen Karjala (Seutukunnat)</dc:title>
  <dc:creator>Diakin karttasovellus 2023-02-27 20:34:50</dc:creator>
  <cp:keywords/>
  <dcterms:created xsi:type="dcterms:W3CDTF">2023-02-27T18:36:06Z</dcterms:created>
  <dcterms:modified xsi:type="dcterms:W3CDTF">2023-02-27T18:36:06Z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