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Sysmä</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00:23:16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00:23:16.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Sysmä. Lisäksi tarkastelussa ovat rajanaapurit: Asikkala, Hartola, Heinola, Kuhmoinen, Luhanka, Padasjoki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ysm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sm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Hartola (naapuri)</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Sysmä (valittu)</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Hartola (naapuri)</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Sysmä (valittu)</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Sysmä (valittu)</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Hartola (naapuri)</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Sysmä (valittu)</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sm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sm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(naapuri)</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Sysmä (valittu)</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Kuhmoinen (naapuri)</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Hartola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Sysmä (valittu)</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Hartola (naapuri)</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Sysmä (valittu)</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Sysmä (valittu)</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Kuhmoinen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Hartola (naapuri)</w:t>
            </w:r>
          </w:p>
        </w:tc>
        <w:tc>
          <w:tcPr/>
          <w:p>
            <w:pPr>
              <w:pStyle w:val="Compact"/>
              <w:jc w:val="right"/>
            </w:pPr>
            <w:r>
              <w:t xml:space="preserve">94.4</w:t>
            </w:r>
          </w:p>
        </w:tc>
        <w:tc>
          <w:tcPr/>
          <w:p>
            <w:pPr>
              <w:pStyle w:val="Compact"/>
              <w:jc w:val="right"/>
            </w:pPr>
            <w:r>
              <w:t xml:space="preserve">154</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Sysmä (valittu)</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sm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sm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269.8</w:t>
            </w:r>
          </w:p>
        </w:tc>
        <w:tc>
          <w:tcPr/>
          <w:p>
            <w:pPr>
              <w:pStyle w:val="Compact"/>
              <w:jc w:val="right"/>
            </w:pPr>
            <w:r>
              <w:t xml:space="preserve">3</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Kuhmoinen (naapuri)</w:t>
            </w:r>
          </w:p>
        </w:tc>
        <w:tc>
          <w:tcPr/>
          <w:p>
            <w:pPr>
              <w:pStyle w:val="Compact"/>
              <w:jc w:val="right"/>
            </w:pPr>
            <w:r>
              <w:t xml:space="preserve">139.5</w:t>
            </w:r>
          </w:p>
        </w:tc>
        <w:tc>
          <w:tcPr/>
          <w:p>
            <w:pPr>
              <w:pStyle w:val="Compact"/>
              <w:jc w:val="right"/>
            </w:pPr>
            <w:r>
              <w:t xml:space="preserve">63</w:t>
            </w:r>
          </w:p>
        </w:tc>
      </w:tr>
      <w:tr>
        <w:tc>
          <w:tcPr/>
          <w:p>
            <w:pPr>
              <w:pStyle w:val="Compact"/>
              <w:jc w:val="left"/>
            </w:pPr>
            <w:r>
              <w:t xml:space="preserve">Asikkala (naapuri)</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Sysmä (valittu)</w:t>
            </w:r>
          </w:p>
        </w:tc>
        <w:tc>
          <w:tcPr/>
          <w:p>
            <w:pPr>
              <w:pStyle w:val="Compact"/>
              <w:jc w:val="right"/>
            </w:pPr>
            <w:r>
              <w:t xml:space="preserve">80.2</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169</w:t>
            </w:r>
          </w:p>
        </w:tc>
      </w:tr>
      <w:tr>
        <w:tc>
          <w:tcPr/>
          <w:p>
            <w:pPr>
              <w:pStyle w:val="Compact"/>
              <w:jc w:val="left"/>
            </w:pPr>
            <w:r>
              <w:t xml:space="preserve">Sysmä (valittu)</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Sysmä (valittu)</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Hartola (naapuri)</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Sysmä (valittu)</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sm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sm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Hartola (naapuri)</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Sysmä (valittu)</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Sysmä (valittu)</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Sysmä (valittu)</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Hartola (naapuri)</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Sysmä (valittu)</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Padasjoki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Hartola (naapuri)</w:t>
            </w:r>
          </w:p>
        </w:tc>
        <w:tc>
          <w:tcPr/>
          <w:p>
            <w:pPr>
              <w:pStyle w:val="Compact"/>
              <w:jc w:val="right"/>
            </w:pPr>
            <w:r>
              <w:t xml:space="preserve">97.8</w:t>
            </w:r>
          </w:p>
        </w:tc>
        <w:tc>
          <w:tcPr/>
          <w:p>
            <w:pPr>
              <w:pStyle w:val="Compact"/>
              <w:jc w:val="right"/>
            </w:pPr>
            <w:r>
              <w:t xml:space="preserve">147</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Sysmä (valittu)</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Hartola (naapuri)</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sm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128.6</w:t>
            </w:r>
          </w:p>
        </w:tc>
        <w:tc>
          <w:tcPr/>
          <w:p>
            <w:pPr>
              <w:pStyle w:val="Compact"/>
              <w:jc w:val="right"/>
            </w:pPr>
            <w:r>
              <w:t xml:space="preserve">137.1</w:t>
            </w:r>
          </w:p>
        </w:tc>
        <w:tc>
          <w:tcPr/>
          <w:p>
            <w:pPr>
              <w:pStyle w:val="Compact"/>
              <w:jc w:val="right"/>
            </w:pPr>
            <w:r>
              <w:t xml:space="preserve">110.9</w:t>
            </w:r>
          </w:p>
        </w:tc>
        <w:tc>
          <w:tcPr/>
          <w:p>
            <w:pPr>
              <w:pStyle w:val="Compact"/>
              <w:jc w:val="right"/>
            </w:pPr>
            <w:r>
              <w:t xml:space="preserve">120.5</w:t>
            </w:r>
          </w:p>
        </w:tc>
        <w:tc>
          <w:tcPr/>
          <w:p>
            <w:pPr>
              <w:pStyle w:val="Compact"/>
              <w:jc w:val="right"/>
            </w:pPr>
            <w:r>
              <w:t xml:space="preserve">145.7</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121.4</w:t>
            </w:r>
          </w:p>
        </w:tc>
        <w:tc>
          <w:tcPr/>
          <w:p>
            <w:pPr>
              <w:pStyle w:val="Compact"/>
              <w:jc w:val="right"/>
            </w:pPr>
            <w:r>
              <w:t xml:space="preserve">130.8</w:t>
            </w:r>
          </w:p>
        </w:tc>
        <w:tc>
          <w:tcPr/>
          <w:p>
            <w:pPr>
              <w:pStyle w:val="Compact"/>
              <w:jc w:val="right"/>
            </w:pPr>
            <w:r>
              <w:t xml:space="preserve">127.3</w:t>
            </w:r>
          </w:p>
        </w:tc>
        <w:tc>
          <w:tcPr/>
          <w:p>
            <w:pPr>
              <w:pStyle w:val="Compact"/>
              <w:jc w:val="right"/>
            </w:pPr>
            <w:r>
              <w:t xml:space="preserve">115.0</w:t>
            </w:r>
          </w:p>
        </w:tc>
        <w:tc>
          <w:tcPr/>
          <w:p>
            <w:pPr>
              <w:pStyle w:val="Compact"/>
              <w:jc w:val="right"/>
            </w:pPr>
            <w:r>
              <w:t xml:space="preserve">112.6</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119.2</w:t>
            </w:r>
          </w:p>
        </w:tc>
        <w:tc>
          <w:tcPr/>
          <w:p>
            <w:pPr>
              <w:pStyle w:val="Compact"/>
              <w:jc w:val="right"/>
            </w:pPr>
            <w:r>
              <w:t xml:space="preserve">96.0</w:t>
            </w:r>
          </w:p>
        </w:tc>
        <w:tc>
          <w:tcPr/>
          <w:p>
            <w:pPr>
              <w:pStyle w:val="Compact"/>
              <w:jc w:val="right"/>
            </w:pPr>
            <w:r>
              <w:t xml:space="preserve">138.6</w:t>
            </w:r>
          </w:p>
        </w:tc>
        <w:tc>
          <w:tcPr/>
          <w:p>
            <w:pPr>
              <w:pStyle w:val="Compact"/>
              <w:jc w:val="right"/>
            </w:pPr>
            <w:r>
              <w:t xml:space="preserve">133.1</w:t>
            </w:r>
          </w:p>
        </w:tc>
        <w:tc>
          <w:tcPr/>
          <w:p>
            <w:pPr>
              <w:pStyle w:val="Compact"/>
              <w:jc w:val="right"/>
            </w:pPr>
            <w:r>
              <w:t xml:space="preserve">109.0</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117.4</w:t>
            </w:r>
          </w:p>
        </w:tc>
        <w:tc>
          <w:tcPr/>
          <w:p>
            <w:pPr>
              <w:pStyle w:val="Compact"/>
              <w:jc w:val="right"/>
            </w:pPr>
            <w:r>
              <w:t xml:space="preserve">113.6</w:t>
            </w:r>
          </w:p>
        </w:tc>
        <w:tc>
          <w:tcPr/>
          <w:p>
            <w:pPr>
              <w:pStyle w:val="Compact"/>
              <w:jc w:val="right"/>
            </w:pPr>
            <w:r>
              <w:t xml:space="preserve">133.5</w:t>
            </w:r>
          </w:p>
        </w:tc>
        <w:tc>
          <w:tcPr/>
          <w:p>
            <w:pPr>
              <w:pStyle w:val="Compact"/>
              <w:jc w:val="right"/>
            </w:pPr>
            <w:r>
              <w:t xml:space="preserve">87.7</w:t>
            </w:r>
          </w:p>
        </w:tc>
        <w:tc>
          <w:tcPr/>
          <w:p>
            <w:pPr>
              <w:pStyle w:val="Compact"/>
              <w:jc w:val="right"/>
            </w:pPr>
            <w:r>
              <w:t xml:space="preserve">134.7</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113.6</w:t>
            </w:r>
          </w:p>
        </w:tc>
        <w:tc>
          <w:tcPr/>
          <w:p>
            <w:pPr>
              <w:pStyle w:val="Compact"/>
              <w:jc w:val="right"/>
            </w:pPr>
            <w:r>
              <w:t xml:space="preserve">114.3</w:t>
            </w:r>
          </w:p>
        </w:tc>
        <w:tc>
          <w:tcPr/>
          <w:p>
            <w:pPr>
              <w:pStyle w:val="Compact"/>
              <w:jc w:val="right"/>
            </w:pPr>
            <w:r>
              <w:t xml:space="preserve">123.9</w:t>
            </w:r>
          </w:p>
        </w:tc>
        <w:tc>
          <w:tcPr/>
          <w:p>
            <w:pPr>
              <w:pStyle w:val="Compact"/>
              <w:jc w:val="right"/>
            </w:pPr>
            <w:r>
              <w:t xml:space="preserve">91.7</w:t>
            </w:r>
          </w:p>
        </w:tc>
        <w:tc>
          <w:tcPr/>
          <w:p>
            <w:pPr>
              <w:pStyle w:val="Compact"/>
              <w:jc w:val="right"/>
            </w:pPr>
            <w:r>
              <w:t xml:space="preserve">124.7</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103.2</w:t>
            </w:r>
          </w:p>
        </w:tc>
        <w:tc>
          <w:tcPr/>
          <w:p>
            <w:pPr>
              <w:pStyle w:val="Compact"/>
              <w:jc w:val="right"/>
            </w:pPr>
            <w:r>
              <w:t xml:space="preserve">90.0</w:t>
            </w:r>
          </w:p>
        </w:tc>
        <w:tc>
          <w:tcPr/>
          <w:p>
            <w:pPr>
              <w:pStyle w:val="Compact"/>
              <w:jc w:val="right"/>
            </w:pPr>
            <w:r>
              <w:t xml:space="preserve">92.5</w:t>
            </w:r>
          </w:p>
        </w:tc>
        <w:tc>
          <w:tcPr/>
          <w:p>
            <w:pPr>
              <w:pStyle w:val="Compact"/>
              <w:jc w:val="right"/>
            </w:pPr>
            <w:r>
              <w:t xml:space="preserve">93.0</w:t>
            </w:r>
          </w:p>
        </w:tc>
        <w:tc>
          <w:tcPr/>
          <w:p>
            <w:pPr>
              <w:pStyle w:val="Compact"/>
              <w:jc w:val="right"/>
            </w:pPr>
            <w:r>
              <w:t xml:space="preserve">137.2</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100.9</w:t>
            </w:r>
          </w:p>
        </w:tc>
        <w:tc>
          <w:tcPr/>
          <w:p>
            <w:pPr>
              <w:pStyle w:val="Compact"/>
              <w:jc w:val="right"/>
            </w:pPr>
            <w:r>
              <w:t xml:space="preserve">127.8</w:t>
            </w:r>
          </w:p>
        </w:tc>
        <w:tc>
          <w:tcPr/>
          <w:p>
            <w:pPr>
              <w:pStyle w:val="Compact"/>
              <w:jc w:val="right"/>
            </w:pPr>
            <w:r>
              <w:t xml:space="preserve">129.4</w:t>
            </w:r>
          </w:p>
        </w:tc>
        <w:tc>
          <w:tcPr/>
          <w:p>
            <w:pPr>
              <w:pStyle w:val="Compact"/>
              <w:jc w:val="right"/>
            </w:pPr>
            <w:r>
              <w:t xml:space="preserve">25.1</w:t>
            </w:r>
          </w:p>
        </w:tc>
        <w:tc>
          <w:tcPr/>
          <w:p>
            <w:pPr>
              <w:pStyle w:val="Compact"/>
              <w:jc w:val="right"/>
            </w:pPr>
            <w:r>
              <w:t xml:space="preserve">121.4</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sm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sm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sm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sm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Sysmä (Kunnat)</dc:title>
  <dc:creator>Diakin karttasovellus 2022-02-23 00:23:16</dc:creator>
  <cp:keywords/>
  <dcterms:created xsi:type="dcterms:W3CDTF">2022-02-22T22:24:26Z</dcterms:created>
  <dcterms:modified xsi:type="dcterms:W3CDTF">2022-02-22T22:24:26Z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