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9/16: How does SLAM affect the design and maneuverability of unmanned </w:t>
      </w:r>
      <w:r w:rsidDel="00000000" w:rsidR="00000000" w:rsidRPr="00000000">
        <w:rPr>
          <w:u w:val="single"/>
          <w:rtl w:val="0"/>
        </w:rPr>
        <w:t xml:space="preserve">ground</w:t>
      </w:r>
      <w:r w:rsidDel="00000000" w:rsidR="00000000" w:rsidRPr="00000000">
        <w:rPr>
          <w:rtl w:val="0"/>
        </w:rPr>
        <w:t xml:space="preserve"> vehicles?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Design: how they’re made, coming up with the robot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Want to be more on the method of movement of robots—movement methods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9/10?: </w:t>
      </w:r>
      <w:r w:rsidDel="00000000" w:rsidR="00000000" w:rsidRPr="00000000">
        <w:rPr>
          <w:rtl w:val="0"/>
        </w:rPr>
        <w:t xml:space="preserve">How does SLAM affect the design and maneuverability of unmanned vehicles?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3/15: How does SLAM work on quadrupedal robots and how does it affect their design?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