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88" w:rsidRPr="00BF3644" w:rsidRDefault="00BF03E2" w:rsidP="00EC7988">
      <w:pPr>
        <w:spacing w:after="0" w:line="240" w:lineRule="auto"/>
        <w:rPr>
          <w:rFonts w:ascii="Times New Roman Cyr" w:hAnsi="Times New Roman Cyr"/>
          <w:b/>
          <w:color w:val="FF0000"/>
        </w:rPr>
      </w:pPr>
      <w:r>
        <w:rPr>
          <w:rFonts w:ascii="Times New Roman Cyr" w:hAnsi="Times New Roman Cyr"/>
          <w:b/>
          <w:color w:val="FF0000"/>
        </w:rPr>
        <w:t>М</w:t>
      </w:r>
      <w:r w:rsidR="00616D43">
        <w:rPr>
          <w:rFonts w:ascii="Times New Roman Cyr" w:hAnsi="Times New Roman Cyr"/>
          <w:b/>
          <w:color w:val="FF0000"/>
        </w:rPr>
        <w:t>осальский</w:t>
      </w:r>
      <w:r w:rsidR="00852362">
        <w:rPr>
          <w:rFonts w:ascii="Times New Roman Cyr" w:hAnsi="Times New Roman Cyr"/>
          <w:b/>
          <w:color w:val="FF0000"/>
        </w:rPr>
        <w:t xml:space="preserve"> район</w:t>
      </w:r>
    </w:p>
    <w:p w:rsidR="00EC7988" w:rsidRPr="00DD6AD2" w:rsidRDefault="00EC7988" w:rsidP="00EC7988">
      <w:pPr>
        <w:spacing w:after="0" w:line="240" w:lineRule="auto"/>
        <w:jc w:val="center"/>
        <w:rPr>
          <w:rFonts w:ascii="Times New Roman Cyr" w:hAnsi="Times New Roman Cyr"/>
          <w:b/>
          <w:sz w:val="40"/>
          <w:szCs w:val="40"/>
        </w:rPr>
      </w:pPr>
      <w:r w:rsidRPr="00DD6AD2">
        <w:rPr>
          <w:rFonts w:ascii="Times New Roman Cyr" w:hAnsi="Times New Roman Cyr"/>
          <w:b/>
          <w:sz w:val="40"/>
          <w:szCs w:val="40"/>
        </w:rPr>
        <w:t>Итоги опросов населения</w:t>
      </w:r>
    </w:p>
    <w:p w:rsidR="00EC7988" w:rsidRPr="00DD6AD2" w:rsidRDefault="00EC7988" w:rsidP="00EC7988">
      <w:pPr>
        <w:jc w:val="center"/>
        <w:rPr>
          <w:sz w:val="24"/>
          <w:szCs w:val="24"/>
        </w:rPr>
      </w:pPr>
      <w:r w:rsidRPr="00DD6AD2">
        <w:rPr>
          <w:rFonts w:ascii="Times New Roman Cyr" w:hAnsi="Times New Roman Cyr"/>
          <w:b/>
          <w:sz w:val="24"/>
          <w:szCs w:val="24"/>
        </w:rPr>
        <w:t xml:space="preserve">об эффективности деятельности руководителей органов местного самоуправления, унитарных предприятий и учреждений, действующих на региональном и муниципальном уровнях, акционерных обществ, контрольный пакет акций которых находится в собственности Калужской области или в муниципальной собственности, осуществляющих оказание услуг населению муниципальных образований, с примененем </w:t>
      </w:r>
      <w:r w:rsidRPr="00DD6AD2">
        <w:rPr>
          <w:rFonts w:ascii="Times New Roman Cyr" w:hAnsi="Times New Roman Cyr"/>
          <w:b/>
          <w:sz w:val="24"/>
          <w:szCs w:val="24"/>
          <w:lang w:val="en-US"/>
        </w:rPr>
        <w:t>IT</w:t>
      </w:r>
      <w:r w:rsidRPr="00DD6AD2">
        <w:rPr>
          <w:rFonts w:ascii="Times New Roman Cyr" w:hAnsi="Times New Roman Cyr"/>
          <w:b/>
          <w:sz w:val="24"/>
          <w:szCs w:val="24"/>
        </w:rPr>
        <w:t xml:space="preserve">-технологий по критериям, </w:t>
      </w:r>
      <w:r w:rsidRPr="00DD6AD2">
        <w:rPr>
          <w:rFonts w:ascii="Times New Roman Cyr" w:hAnsi="Times New Roman Cyr"/>
          <w:b/>
          <w:color w:val="000000" w:themeColor="text1"/>
          <w:sz w:val="24"/>
          <w:szCs w:val="24"/>
        </w:rPr>
        <w:t>утвержденным постановлением Правительства Российской Федерации от 17.12.2012 № 1317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5495"/>
        <w:gridCol w:w="5244"/>
      </w:tblGrid>
      <w:tr w:rsidR="00EC7988" w:rsidTr="00EC7988">
        <w:tc>
          <w:tcPr>
            <w:tcW w:w="5495" w:type="dxa"/>
            <w:vAlign w:val="center"/>
          </w:tcPr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C7988">
              <w:rPr>
                <w:rFonts w:ascii="Times New Roman" w:hAnsi="Times New Roman" w:cs="Times New Roman"/>
                <w:b/>
                <w:i/>
              </w:rPr>
              <w:t xml:space="preserve">Удовлетворенность населения организацией транспортного обслуживания </w:t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C7988">
              <w:rPr>
                <w:rFonts w:ascii="Times New Roman" w:hAnsi="Times New Roman" w:cs="Times New Roman"/>
                <w:i/>
              </w:rPr>
              <w:t>(% удовлетворенных от опрошенных)</w:t>
            </w:r>
          </w:p>
          <w:p w:rsidR="00EC7988" w:rsidRDefault="00EC7988" w:rsidP="00EC79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8079F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323646" cy="1757239"/>
                  <wp:effectExtent l="0" t="0" r="0" b="0"/>
                  <wp:docPr id="1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C7988">
              <w:rPr>
                <w:rFonts w:ascii="Times New Roman" w:hAnsi="Times New Roman" w:cs="Times New Roman"/>
                <w:b/>
                <w:i/>
              </w:rPr>
              <w:t xml:space="preserve">Удовлетворенность населения </w:t>
            </w:r>
            <w:r w:rsidR="00DD6AD2">
              <w:rPr>
                <w:rFonts w:ascii="Times New Roman" w:hAnsi="Times New Roman" w:cs="Times New Roman"/>
                <w:b/>
                <w:i/>
              </w:rPr>
              <w:t>качеством автомобильных дорог</w:t>
            </w:r>
            <w:r w:rsidRPr="00EC7988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C7988">
              <w:rPr>
                <w:rFonts w:ascii="Times New Roman" w:hAnsi="Times New Roman" w:cs="Times New Roman"/>
                <w:i/>
              </w:rPr>
              <w:t>(% удовлетворенных от опрошенных)</w:t>
            </w:r>
          </w:p>
          <w:p w:rsidR="00EC7988" w:rsidRDefault="00DD6AD2" w:rsidP="00735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D6AD2">
              <w:rPr>
                <w:rFonts w:ascii="Times New Roman" w:hAnsi="Times New Roman" w:cs="Times New Roman"/>
                <w:i/>
                <w:sz w:val="26"/>
                <w:szCs w:val="26"/>
              </w:rPr>
              <w:drawing>
                <wp:inline distT="0" distB="0" distL="0" distR="0">
                  <wp:extent cx="3323646" cy="1757239"/>
                  <wp:effectExtent l="0" t="0" r="0" b="0"/>
                  <wp:docPr id="5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DD6AD2" w:rsidTr="004331D6">
        <w:tc>
          <w:tcPr>
            <w:tcW w:w="10739" w:type="dxa"/>
            <w:gridSpan w:val="2"/>
            <w:vAlign w:val="center"/>
          </w:tcPr>
          <w:p w:rsidR="00DD6AD2" w:rsidRP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Удовлетворенность населения жилищно-коммунальными услугами:</w:t>
            </w:r>
          </w:p>
        </w:tc>
      </w:tr>
      <w:tr w:rsidR="00EC7988" w:rsidTr="00EC7988">
        <w:tc>
          <w:tcPr>
            <w:tcW w:w="5495" w:type="dxa"/>
            <w:vAlign w:val="center"/>
          </w:tcPr>
          <w:p w:rsidR="00DD6AD2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Уровнем организации теплоснабжения </w:t>
            </w:r>
          </w:p>
          <w:p w:rsidR="00EC7988" w:rsidRP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(снабжения населения топливом)</w:t>
            </w:r>
            <w:r w:rsidR="00EC7988" w:rsidRPr="00EC7988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C7988">
              <w:rPr>
                <w:rFonts w:ascii="Times New Roman" w:hAnsi="Times New Roman" w:cs="Times New Roman"/>
                <w:i/>
              </w:rPr>
              <w:t>(% удовлетворенных от опрошенных)</w:t>
            </w:r>
          </w:p>
          <w:p w:rsid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D6AD2">
              <w:rPr>
                <w:rFonts w:ascii="Times New Roman" w:hAnsi="Times New Roman" w:cs="Times New Roman"/>
                <w:b/>
                <w:i/>
              </w:rPr>
              <w:drawing>
                <wp:inline distT="0" distB="0" distL="0" distR="0">
                  <wp:extent cx="3323646" cy="1757239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244" w:type="dxa"/>
          </w:tcPr>
          <w:p w:rsidR="00EC7988" w:rsidRP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Водоснабжения (водоотведения)</w:t>
            </w:r>
            <w:r w:rsidR="00EC7988" w:rsidRPr="00EC7988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C7988">
              <w:rPr>
                <w:rFonts w:ascii="Times New Roman" w:hAnsi="Times New Roman" w:cs="Times New Roman"/>
                <w:i/>
              </w:rPr>
              <w:t>(% удовлетворенных от опрошенных)</w:t>
            </w:r>
          </w:p>
          <w:p w:rsidR="00EC7988" w:rsidRDefault="00DD6AD2" w:rsidP="00735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D6AD2">
              <w:rPr>
                <w:rFonts w:ascii="Times New Roman" w:hAnsi="Times New Roman" w:cs="Times New Roman"/>
                <w:i/>
                <w:sz w:val="26"/>
                <w:szCs w:val="26"/>
              </w:rPr>
              <w:drawing>
                <wp:inline distT="0" distB="0" distL="0" distR="0">
                  <wp:extent cx="3323646" cy="1757239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EC7988" w:rsidTr="00EC7988">
        <w:tc>
          <w:tcPr>
            <w:tcW w:w="5495" w:type="dxa"/>
            <w:vAlign w:val="center"/>
          </w:tcPr>
          <w:p w:rsidR="00EC7988" w:rsidRP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Электроснабжения</w:t>
            </w:r>
            <w:r w:rsidR="00EC7988" w:rsidRPr="00EC7988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C7988">
              <w:rPr>
                <w:rFonts w:ascii="Times New Roman" w:hAnsi="Times New Roman" w:cs="Times New Roman"/>
                <w:i/>
              </w:rPr>
              <w:t>(% удовлетворенных от опрошенных)</w:t>
            </w:r>
          </w:p>
          <w:p w:rsid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D6AD2">
              <w:rPr>
                <w:rFonts w:ascii="Times New Roman" w:hAnsi="Times New Roman" w:cs="Times New Roman"/>
                <w:b/>
                <w:i/>
              </w:rPr>
              <w:drawing>
                <wp:inline distT="0" distB="0" distL="0" distR="0">
                  <wp:extent cx="3323646" cy="1757239"/>
                  <wp:effectExtent l="0" t="0" r="0" b="0"/>
                  <wp:docPr id="3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244" w:type="dxa"/>
          </w:tcPr>
          <w:p w:rsidR="00EC7988" w:rsidRPr="00EC7988" w:rsidRDefault="00DD6AD2" w:rsidP="00EC798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Газоснабжения</w:t>
            </w:r>
            <w:r w:rsidR="00EC7988" w:rsidRPr="00EC7988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C7988" w:rsidRPr="00EC7988" w:rsidRDefault="00EC7988" w:rsidP="00EC798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C7988">
              <w:rPr>
                <w:rFonts w:ascii="Times New Roman" w:hAnsi="Times New Roman" w:cs="Times New Roman"/>
                <w:i/>
              </w:rPr>
              <w:t>(% удовлетворенных от опрошенных)</w:t>
            </w:r>
          </w:p>
          <w:p w:rsidR="00EC7988" w:rsidRDefault="00DD6AD2" w:rsidP="00735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D6AD2">
              <w:rPr>
                <w:rFonts w:ascii="Times New Roman" w:hAnsi="Times New Roman" w:cs="Times New Roman"/>
                <w:i/>
                <w:sz w:val="26"/>
                <w:szCs w:val="26"/>
              </w:rPr>
              <w:drawing>
                <wp:inline distT="0" distB="0" distL="0" distR="0">
                  <wp:extent cx="3323646" cy="1757239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7B6CDC" w:rsidRDefault="007B6CDC"/>
    <w:sectPr w:rsidR="007B6CDC" w:rsidSect="00EC798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C7988"/>
    <w:rsid w:val="00012C51"/>
    <w:rsid w:val="001923A3"/>
    <w:rsid w:val="00231723"/>
    <w:rsid w:val="00296F56"/>
    <w:rsid w:val="00314EAE"/>
    <w:rsid w:val="00321CA6"/>
    <w:rsid w:val="00326AEC"/>
    <w:rsid w:val="003578A0"/>
    <w:rsid w:val="0037160A"/>
    <w:rsid w:val="00386D6F"/>
    <w:rsid w:val="003915E9"/>
    <w:rsid w:val="003D21CA"/>
    <w:rsid w:val="00424E22"/>
    <w:rsid w:val="004A2FB3"/>
    <w:rsid w:val="00534D0B"/>
    <w:rsid w:val="00566978"/>
    <w:rsid w:val="005850A9"/>
    <w:rsid w:val="005C1F4A"/>
    <w:rsid w:val="0061266B"/>
    <w:rsid w:val="00616D43"/>
    <w:rsid w:val="00647067"/>
    <w:rsid w:val="006F3BC2"/>
    <w:rsid w:val="007B6CDC"/>
    <w:rsid w:val="0084446B"/>
    <w:rsid w:val="00852362"/>
    <w:rsid w:val="00AA449A"/>
    <w:rsid w:val="00B62693"/>
    <w:rsid w:val="00B95AE6"/>
    <w:rsid w:val="00BF03E2"/>
    <w:rsid w:val="00BF3644"/>
    <w:rsid w:val="00C333E8"/>
    <w:rsid w:val="00D026B9"/>
    <w:rsid w:val="00D2487A"/>
    <w:rsid w:val="00D81D97"/>
    <w:rsid w:val="00DD6AD2"/>
    <w:rsid w:val="00E223A6"/>
    <w:rsid w:val="00E60CFD"/>
    <w:rsid w:val="00EC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6.5790445050965332E-2"/>
          <c:y val="6.9014192873300434E-2"/>
          <c:w val="0.44948949186707127"/>
          <c:h val="0.8619716142534033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8"/>
          <c:dLbls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ctr"/>
            <c:showVal val="1"/>
            <c:showLeaderLines val="1"/>
          </c:dLbls>
          <c:cat>
            <c:strRef>
              <c:f>Лист1!$A$2:$A$3</c:f>
              <c:strCache>
                <c:ptCount val="2"/>
                <c:pt idx="0">
                  <c:v>удовлетворен</c:v>
                </c:pt>
                <c:pt idx="1">
                  <c:v>не удовлетворен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0.7400000000000001</c:v>
                </c:pt>
                <c:pt idx="1">
                  <c:v>0.26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6.5790445050965332E-2"/>
          <c:y val="6.9014192873300434E-2"/>
          <c:w val="0.44948949186707143"/>
          <c:h val="0.8619716142534038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8"/>
          <c:dLbls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ctr"/>
            <c:showVal val="1"/>
            <c:showLeaderLines val="1"/>
          </c:dLbls>
          <c:cat>
            <c:strRef>
              <c:f>Лист1!$A$2:$A$3</c:f>
              <c:strCache>
                <c:ptCount val="2"/>
                <c:pt idx="0">
                  <c:v>удовлетворен</c:v>
                </c:pt>
                <c:pt idx="1">
                  <c:v>не удовлетворен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0.53</c:v>
                </c:pt>
                <c:pt idx="1">
                  <c:v>0.47000000000000003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6.5790445050965332E-2"/>
          <c:y val="6.9014192873300434E-2"/>
          <c:w val="0.44948949186707143"/>
          <c:h val="0.8619716142534038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8"/>
          <c:dLbls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ctr"/>
            <c:showVal val="1"/>
            <c:showLeaderLines val="1"/>
          </c:dLbls>
          <c:cat>
            <c:strRef>
              <c:f>Лист1!$A$2:$A$3</c:f>
              <c:strCache>
                <c:ptCount val="2"/>
                <c:pt idx="0">
                  <c:v>удовлетворен</c:v>
                </c:pt>
                <c:pt idx="1">
                  <c:v>не удовлетворен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0.85000000000000009</c:v>
                </c:pt>
                <c:pt idx="1">
                  <c:v>0.15000000000000005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6.5790445050965332E-2"/>
          <c:y val="6.9014192873300434E-2"/>
          <c:w val="0.44948949186707143"/>
          <c:h val="0.8619716142534038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8"/>
          <c:dLbls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ctr"/>
            <c:showVal val="1"/>
            <c:showLeaderLines val="1"/>
          </c:dLbls>
          <c:cat>
            <c:strRef>
              <c:f>Лист1!$A$2:$A$3</c:f>
              <c:strCache>
                <c:ptCount val="2"/>
                <c:pt idx="0">
                  <c:v>удовлетворен</c:v>
                </c:pt>
                <c:pt idx="1">
                  <c:v>не удовлетворен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0.73000000000000009</c:v>
                </c:pt>
                <c:pt idx="1">
                  <c:v>0.27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</c:legend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6.5790445050965332E-2"/>
          <c:y val="6.9014192873300434E-2"/>
          <c:w val="0.44948949186707143"/>
          <c:h val="0.8619716142534038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8"/>
          <c:dLbls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ctr"/>
            <c:showVal val="1"/>
            <c:showLeaderLines val="1"/>
          </c:dLbls>
          <c:cat>
            <c:strRef>
              <c:f>Лист1!$A$2:$A$3</c:f>
              <c:strCache>
                <c:ptCount val="2"/>
                <c:pt idx="0">
                  <c:v>удовлетворен</c:v>
                </c:pt>
                <c:pt idx="1">
                  <c:v>не удовлетворен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0.87000000000000011</c:v>
                </c:pt>
                <c:pt idx="1">
                  <c:v>0.13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6.5790445050965332E-2"/>
          <c:y val="6.9014192873300434E-2"/>
          <c:w val="0.44948949186707143"/>
          <c:h val="0.8619716142534038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8"/>
          <c:dLbls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ctr"/>
            <c:showVal val="1"/>
            <c:showLeaderLines val="1"/>
          </c:dLbls>
          <c:cat>
            <c:strRef>
              <c:f>Лист1!$A$2:$A$3</c:f>
              <c:strCache>
                <c:ptCount val="2"/>
                <c:pt idx="0">
                  <c:v>удовлетворен</c:v>
                </c:pt>
                <c:pt idx="1">
                  <c:v>не удовлетворен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0.9</c:v>
                </c:pt>
                <c:pt idx="1">
                  <c:v>0.1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minecon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doroshenko</dc:creator>
  <cp:keywords/>
  <dc:description/>
  <cp:lastModifiedBy>doroshenko</cp:lastModifiedBy>
  <cp:revision>3</cp:revision>
  <dcterms:created xsi:type="dcterms:W3CDTF">2014-06-23T12:28:00Z</dcterms:created>
  <dcterms:modified xsi:type="dcterms:W3CDTF">2014-06-23T12:29:00Z</dcterms:modified>
</cp:coreProperties>
</file>