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ACC" w:rsidRDefault="00221ACC" w:rsidP="00221ACC">
      <w:pPr>
        <w:pStyle w:val="a3"/>
        <w:ind w:right="-307"/>
        <w:jc w:val="center"/>
        <w:rPr>
          <w:rFonts w:ascii="Arial" w:hAnsi="Arial" w:cs="Arial"/>
          <w:b/>
          <w:sz w:val="24"/>
          <w:szCs w:val="24"/>
        </w:rPr>
      </w:pPr>
    </w:p>
    <w:p w:rsidR="00221ACC" w:rsidRPr="00221ACC" w:rsidRDefault="00221ACC" w:rsidP="00221ACC">
      <w:pPr>
        <w:pStyle w:val="a3"/>
        <w:ind w:right="-307"/>
        <w:jc w:val="center"/>
        <w:rPr>
          <w:rFonts w:ascii="Times New Roman" w:hAnsi="Times New Roman"/>
          <w:b/>
          <w:sz w:val="24"/>
          <w:szCs w:val="24"/>
        </w:rPr>
      </w:pPr>
      <w:r w:rsidRPr="00221ACC">
        <w:rPr>
          <w:rFonts w:ascii="Times New Roman" w:hAnsi="Times New Roman"/>
          <w:b/>
          <w:sz w:val="24"/>
          <w:szCs w:val="24"/>
        </w:rPr>
        <w:t>Маскировка под ломбард</w:t>
      </w:r>
    </w:p>
    <w:p w:rsidR="00221ACC" w:rsidRPr="00221ACC" w:rsidRDefault="00221ACC" w:rsidP="00221ACC">
      <w:pPr>
        <w:pStyle w:val="a3"/>
        <w:ind w:right="-307"/>
        <w:jc w:val="center"/>
        <w:rPr>
          <w:rFonts w:ascii="Times New Roman" w:hAnsi="Times New Roman"/>
          <w:b/>
          <w:sz w:val="24"/>
          <w:szCs w:val="24"/>
        </w:rPr>
      </w:pPr>
    </w:p>
    <w:p w:rsidR="00221ACC" w:rsidRPr="00221ACC" w:rsidRDefault="00221ACC" w:rsidP="00221ACC">
      <w:pPr>
        <w:pStyle w:val="a3"/>
        <w:spacing w:line="276" w:lineRule="auto"/>
        <w:ind w:firstLine="709"/>
        <w:jc w:val="both"/>
        <w:rPr>
          <w:rStyle w:val="a5"/>
          <w:rFonts w:ascii="Times New Roman" w:hAnsi="Times New Roman"/>
        </w:rPr>
      </w:pPr>
      <w:r w:rsidRPr="00221ACC">
        <w:rPr>
          <w:rFonts w:ascii="Times New Roman" w:hAnsi="Times New Roman"/>
          <w:sz w:val="24"/>
          <w:szCs w:val="24"/>
        </w:rPr>
        <w:t xml:space="preserve">Вывеску «ломбард» сегодня можно увидеть в Калуге чуть ли не на каждом шагу. </w:t>
      </w:r>
      <w:r w:rsidRPr="00221ACC">
        <w:rPr>
          <w:rFonts w:ascii="Times New Roman" w:hAnsi="Times New Roman"/>
          <w:sz w:val="24"/>
          <w:szCs w:val="24"/>
        </w:rPr>
        <w:t xml:space="preserve">Мы </w:t>
      </w:r>
      <w:r w:rsidRPr="00221ACC">
        <w:rPr>
          <w:rFonts w:ascii="Times New Roman" w:hAnsi="Times New Roman"/>
          <w:sz w:val="24"/>
          <w:szCs w:val="24"/>
        </w:rPr>
        <w:t>узнали, как не быть обманутым, пытаясь занять деньги под залог ценностей.</w:t>
      </w:r>
    </w:p>
    <w:p w:rsidR="00221ACC" w:rsidRPr="00221ACC" w:rsidRDefault="00221ACC" w:rsidP="00221ACC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1ACC">
        <w:rPr>
          <w:rStyle w:val="a5"/>
          <w:rFonts w:ascii="Times New Roman" w:hAnsi="Times New Roman"/>
          <w:sz w:val="24"/>
          <w:szCs w:val="24"/>
        </w:rPr>
        <w:t>Сп</w:t>
      </w:r>
      <w:r w:rsidRPr="00221ACC">
        <w:rPr>
          <w:rFonts w:ascii="Times New Roman" w:eastAsia="Times New Roman" w:hAnsi="Times New Roman"/>
          <w:sz w:val="24"/>
          <w:szCs w:val="24"/>
        </w:rPr>
        <w:t xml:space="preserve">рос на услуги ломбардов со стороны калужан достаточно велик. Было бы что заложить – и деньги в кармане. </w:t>
      </w:r>
      <w:r w:rsidRPr="00221ACC">
        <w:rPr>
          <w:rFonts w:ascii="Times New Roman" w:hAnsi="Times New Roman"/>
          <w:sz w:val="24"/>
          <w:szCs w:val="24"/>
        </w:rPr>
        <w:t>Почти 77 тысяч договоров заключили ломбарды нашего региона за 2016 год. Это на 9 тысяч договоров больше, чем в 2015 году. Таковы данные Отделения Калуга ГУ Банка России по Центральному федеральному округу. При этом объем выданных займов вырос почти на 20%, составив 360 </w:t>
      </w:r>
      <w:proofErr w:type="gramStart"/>
      <w:r w:rsidRPr="00221ACC">
        <w:rPr>
          <w:rFonts w:ascii="Times New Roman" w:hAnsi="Times New Roman"/>
          <w:sz w:val="24"/>
          <w:szCs w:val="24"/>
        </w:rPr>
        <w:t>млн</w:t>
      </w:r>
      <w:proofErr w:type="gramEnd"/>
      <w:r w:rsidRPr="00221ACC">
        <w:rPr>
          <w:rFonts w:ascii="Times New Roman" w:hAnsi="Times New Roman"/>
          <w:sz w:val="24"/>
          <w:szCs w:val="24"/>
        </w:rPr>
        <w:t xml:space="preserve"> рублей. </w:t>
      </w:r>
    </w:p>
    <w:p w:rsidR="00221ACC" w:rsidRPr="00221ACC" w:rsidRDefault="00221ACC" w:rsidP="00221ACC">
      <w:pPr>
        <w:pStyle w:val="a3"/>
        <w:tabs>
          <w:tab w:val="left" w:pos="8460"/>
        </w:tabs>
        <w:spacing w:line="276" w:lineRule="auto"/>
        <w:ind w:right="-307" w:firstLine="709"/>
        <w:jc w:val="both"/>
        <w:rPr>
          <w:rFonts w:ascii="Times New Roman" w:hAnsi="Times New Roman"/>
          <w:sz w:val="24"/>
          <w:szCs w:val="24"/>
        </w:rPr>
      </w:pPr>
      <w:r w:rsidRPr="00221ACC">
        <w:rPr>
          <w:rFonts w:ascii="Times New Roman" w:hAnsi="Times New Roman"/>
          <w:sz w:val="24"/>
          <w:szCs w:val="24"/>
        </w:rPr>
        <w:t xml:space="preserve"> Надо сказать, что ломбарды занимаются предоставлением краткосрочных займов под залог имущества и предоставляют услуги хранения вещей. Контролирует их деятельность Банк России.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21ACC">
        <w:rPr>
          <w:rFonts w:ascii="Times New Roman" w:hAnsi="Times New Roman"/>
          <w:sz w:val="24"/>
          <w:szCs w:val="24"/>
        </w:rPr>
        <w:t xml:space="preserve">Но, к сожалению, существуют организации, которые незаконно ведут ломбардную деятельность, «маскируясь» под легальные ломбарды и вводя потребителей в заблуждение. К примеру, под вывеской ломбарда может скрываться комиссионный магазин. При этом вместо оформления договора займа и залогового билета, как это должно быть в ломбарде, с гражданами заключается договор комиссии. В результате работы таких недобросовестных организаций нарушаются права потребителей: не страхуется заложенное имущество, отсутствует льготный месячный период для возврата займа, повышается процентная ставка или начисляются пени при возникновении просрочки. </w:t>
      </w:r>
    </w:p>
    <w:p w:rsidR="00221ACC" w:rsidRPr="00221ACC" w:rsidRDefault="00221ACC" w:rsidP="00221ACC">
      <w:pPr>
        <w:pStyle w:val="a3"/>
        <w:spacing w:line="276" w:lineRule="auto"/>
        <w:ind w:right="-307" w:firstLine="708"/>
        <w:jc w:val="both"/>
        <w:rPr>
          <w:rFonts w:ascii="Times New Roman" w:hAnsi="Times New Roman"/>
          <w:sz w:val="24"/>
          <w:szCs w:val="24"/>
        </w:rPr>
      </w:pPr>
      <w:r w:rsidRPr="00221ACC" w:rsidDel="0056781B">
        <w:rPr>
          <w:rFonts w:ascii="Times New Roman" w:hAnsi="Times New Roman"/>
          <w:sz w:val="24"/>
          <w:szCs w:val="24"/>
        </w:rPr>
        <w:t xml:space="preserve"> </w:t>
      </w:r>
      <w:r w:rsidRPr="00221ACC">
        <w:rPr>
          <w:rFonts w:ascii="Times New Roman" w:hAnsi="Times New Roman"/>
          <w:sz w:val="24"/>
          <w:szCs w:val="24"/>
        </w:rPr>
        <w:t xml:space="preserve">«Если вы срочно нуждаетесь в деньгах, важно запомнить несколько простых правил, - поясняет заведующий сектором контроля и надзора за деятельностью </w:t>
      </w:r>
      <w:proofErr w:type="spellStart"/>
      <w:r w:rsidRPr="00221ACC">
        <w:rPr>
          <w:rFonts w:ascii="Times New Roman" w:hAnsi="Times New Roman"/>
          <w:sz w:val="24"/>
          <w:szCs w:val="24"/>
        </w:rPr>
        <w:t>микрофинансовых</w:t>
      </w:r>
      <w:proofErr w:type="spellEnd"/>
      <w:r w:rsidRPr="00221ACC">
        <w:rPr>
          <w:rFonts w:ascii="Times New Roman" w:hAnsi="Times New Roman"/>
          <w:sz w:val="24"/>
          <w:szCs w:val="24"/>
        </w:rPr>
        <w:t xml:space="preserve"> организаций, потребительских кооперативов и ломбардов Отделения Калуга ГУ Банка России по ЦФО ОЛЬГА КУЧЕРОВА.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221ACC">
        <w:rPr>
          <w:rFonts w:ascii="Times New Roman" w:hAnsi="Times New Roman"/>
          <w:sz w:val="24"/>
          <w:szCs w:val="24"/>
        </w:rPr>
        <w:t>Убедитесь, что в официальном наименовании организации, в которую вы предполагаете обратиться, есть слово «ломбард». Далее - при предоставлении займа легальный ломбард обязан оформить залоговый билет и сам договор в табличной форме (он может располагаться на оборотной стороне залогового билета)». Наш эксперт также советует о</w:t>
      </w:r>
      <w:r>
        <w:rPr>
          <w:rFonts w:ascii="Times New Roman" w:hAnsi="Times New Roman"/>
          <w:sz w:val="24"/>
          <w:szCs w:val="24"/>
        </w:rPr>
        <w:t>братить</w:t>
      </w:r>
      <w:r w:rsidRPr="00221ACC">
        <w:rPr>
          <w:rFonts w:ascii="Times New Roman" w:hAnsi="Times New Roman"/>
          <w:sz w:val="24"/>
          <w:szCs w:val="24"/>
        </w:rPr>
        <w:t xml:space="preserve"> внимание на размер полной стоимости потребительского займа. Она должна быть указана в квадратной рамке на первой странице договора и на момент его заключения не может превышать среднерыночное значение более</w:t>
      </w:r>
      <w:proofErr w:type="gramStart"/>
      <w:r w:rsidRPr="00221ACC">
        <w:rPr>
          <w:rFonts w:ascii="Times New Roman" w:hAnsi="Times New Roman"/>
          <w:sz w:val="24"/>
          <w:szCs w:val="24"/>
        </w:rPr>
        <w:t>,</w:t>
      </w:r>
      <w:proofErr w:type="gramEnd"/>
      <w:r w:rsidRPr="00221ACC">
        <w:rPr>
          <w:rFonts w:ascii="Times New Roman" w:hAnsi="Times New Roman"/>
          <w:sz w:val="24"/>
          <w:szCs w:val="24"/>
        </w:rPr>
        <w:t xml:space="preserve"> чем на одну треть (среднерыночное значение этого показателя можно найти на сайте Банка России </w:t>
      </w:r>
      <w:hyperlink r:id="rId5" w:history="1">
        <w:r w:rsidRPr="00221ACC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221ACC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221ACC">
          <w:rPr>
            <w:rStyle w:val="a4"/>
            <w:rFonts w:ascii="Times New Roman" w:hAnsi="Times New Roman"/>
            <w:sz w:val="24"/>
            <w:szCs w:val="24"/>
            <w:lang w:val="en-US"/>
          </w:rPr>
          <w:t>cbr</w:t>
        </w:r>
        <w:proofErr w:type="spellEnd"/>
        <w:r w:rsidRPr="00221ACC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221ACC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  <w:r w:rsidRPr="00221ACC">
        <w:rPr>
          <w:rFonts w:ascii="Times New Roman" w:hAnsi="Times New Roman"/>
          <w:sz w:val="24"/>
          <w:szCs w:val="24"/>
        </w:rPr>
        <w:t xml:space="preserve"> в разделе «Информационно-аналитические материалы»). И еще – удостоверьтесь, что ломбард застраховал заложенное имущество – попросите показать договор страхования.</w:t>
      </w:r>
    </w:p>
    <w:p w:rsidR="00221ACC" w:rsidRPr="00221ACC" w:rsidRDefault="00221ACC" w:rsidP="00221ACC">
      <w:pPr>
        <w:pStyle w:val="a3"/>
        <w:spacing w:line="276" w:lineRule="auto"/>
        <w:ind w:right="-307" w:firstLine="709"/>
        <w:jc w:val="both"/>
        <w:rPr>
          <w:rFonts w:ascii="Times New Roman" w:hAnsi="Times New Roman"/>
          <w:sz w:val="24"/>
          <w:szCs w:val="24"/>
        </w:rPr>
      </w:pPr>
      <w:r w:rsidRPr="00221ACC">
        <w:rPr>
          <w:rFonts w:ascii="Times New Roman" w:hAnsi="Times New Roman"/>
          <w:sz w:val="24"/>
          <w:szCs w:val="24"/>
        </w:rPr>
        <w:t xml:space="preserve">Если вы считаете, что ломбард нарушает ваши права, можно обратиться в Банк России через интернет-приемную на сайте </w:t>
      </w:r>
      <w:hyperlink r:id="rId6" w:history="1">
        <w:r w:rsidRPr="00221ACC">
          <w:rPr>
            <w:rStyle w:val="a4"/>
            <w:rFonts w:ascii="Times New Roman" w:hAnsi="Times New Roman"/>
            <w:sz w:val="24"/>
            <w:szCs w:val="24"/>
          </w:rPr>
          <w:t>www.cbr.ru</w:t>
        </w:r>
      </w:hyperlink>
      <w:r w:rsidRPr="00221ACC">
        <w:rPr>
          <w:rFonts w:ascii="Times New Roman" w:hAnsi="Times New Roman"/>
          <w:sz w:val="24"/>
          <w:szCs w:val="24"/>
        </w:rPr>
        <w:t xml:space="preserve"> или по электронной почте </w:t>
      </w:r>
      <w:hyperlink r:id="rId7" w:history="1">
        <w:r w:rsidRPr="00221ACC">
          <w:rPr>
            <w:rStyle w:val="a4"/>
            <w:rFonts w:ascii="Times New Roman" w:hAnsi="Times New Roman"/>
            <w:sz w:val="24"/>
            <w:szCs w:val="24"/>
          </w:rPr>
          <w:t>fps@cbr.ru</w:t>
        </w:r>
      </w:hyperlink>
      <w:r w:rsidRPr="00221ACC">
        <w:rPr>
          <w:rFonts w:ascii="Times New Roman" w:hAnsi="Times New Roman"/>
          <w:sz w:val="24"/>
          <w:szCs w:val="24"/>
        </w:rPr>
        <w:t xml:space="preserve">. Также можно </w:t>
      </w:r>
      <w:r>
        <w:rPr>
          <w:rFonts w:ascii="Times New Roman" w:hAnsi="Times New Roman"/>
          <w:sz w:val="24"/>
          <w:szCs w:val="24"/>
        </w:rPr>
        <w:t>направить письменное обращение</w:t>
      </w:r>
      <w:r w:rsidRPr="00221ACC">
        <w:rPr>
          <w:rFonts w:ascii="Times New Roman" w:hAnsi="Times New Roman"/>
          <w:sz w:val="24"/>
          <w:szCs w:val="24"/>
        </w:rPr>
        <w:t xml:space="preserve"> в Отделение Калуга</w:t>
      </w:r>
      <w:r>
        <w:rPr>
          <w:rFonts w:ascii="Times New Roman" w:hAnsi="Times New Roman"/>
          <w:sz w:val="24"/>
          <w:szCs w:val="24"/>
        </w:rPr>
        <w:t xml:space="preserve"> по адресу: 248001, г. Калуга, ул. Ленина, 76.</w:t>
      </w:r>
      <w:bookmarkStart w:id="0" w:name="_GoBack"/>
      <w:bookmarkEnd w:id="0"/>
    </w:p>
    <w:p w:rsidR="00221ACC" w:rsidRPr="00221ACC" w:rsidRDefault="00221ACC" w:rsidP="00221ACC">
      <w:pPr>
        <w:pStyle w:val="a3"/>
        <w:spacing w:line="276" w:lineRule="auto"/>
        <w:ind w:right="-307" w:firstLine="709"/>
        <w:jc w:val="both"/>
        <w:rPr>
          <w:rFonts w:ascii="Times New Roman" w:hAnsi="Times New Roman"/>
          <w:sz w:val="24"/>
          <w:szCs w:val="24"/>
        </w:rPr>
      </w:pPr>
    </w:p>
    <w:p w:rsidR="00221ACC" w:rsidRPr="00221ACC" w:rsidRDefault="00221ACC" w:rsidP="00221ACC">
      <w:pPr>
        <w:pStyle w:val="a3"/>
        <w:spacing w:line="276" w:lineRule="auto"/>
        <w:ind w:right="-307" w:firstLine="709"/>
        <w:jc w:val="both"/>
        <w:rPr>
          <w:rFonts w:ascii="Times New Roman" w:hAnsi="Times New Roman"/>
          <w:sz w:val="24"/>
          <w:szCs w:val="24"/>
        </w:rPr>
      </w:pPr>
      <w:r w:rsidRPr="00221ACC">
        <w:rPr>
          <w:rFonts w:ascii="Times New Roman" w:hAnsi="Times New Roman"/>
          <w:b/>
          <w:i/>
          <w:sz w:val="24"/>
          <w:szCs w:val="24"/>
        </w:rPr>
        <w:t>Важно!</w:t>
      </w:r>
      <w:r w:rsidRPr="00221ACC">
        <w:rPr>
          <w:rFonts w:ascii="Times New Roman" w:hAnsi="Times New Roman"/>
          <w:i/>
          <w:sz w:val="24"/>
          <w:szCs w:val="24"/>
        </w:rPr>
        <w:t xml:space="preserve"> Разрешенное законом время работы ломбардов – с 8 до 20 часов. Принимать в залог ломбард может только движимое имущество (драгоценности, бытовую технику и пр.), работать с недвижимостью ломбард не вправе.  Если заемщик вовремя не вернул ломбарду деньги, у него есть льготный месячный срок для погашения займа. В течение этого срока ломбард не может продать заложенную вещь, брать деньги за ее хранение, а также повышать процентную ставку по займу.</w:t>
      </w:r>
      <w:r w:rsidRPr="00221ACC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65774C" w:rsidRPr="00221ACC" w:rsidRDefault="0065774C">
      <w:pPr>
        <w:rPr>
          <w:rFonts w:ascii="Times New Roman" w:hAnsi="Times New Roman" w:cs="Times New Roman"/>
        </w:rPr>
      </w:pPr>
    </w:p>
    <w:p w:rsidR="00221ACC" w:rsidRPr="00221ACC" w:rsidRDefault="00221ACC">
      <w:pPr>
        <w:rPr>
          <w:rFonts w:ascii="Times New Roman" w:hAnsi="Times New Roman" w:cs="Times New Roman"/>
        </w:rPr>
      </w:pPr>
    </w:p>
    <w:sectPr w:rsidR="00221ACC" w:rsidRPr="00221ACC" w:rsidSect="000D1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CC"/>
    <w:rsid w:val="00221ACC"/>
    <w:rsid w:val="0065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1ACC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uiPriority w:val="99"/>
    <w:unhideWhenUsed/>
    <w:rsid w:val="00221ACC"/>
    <w:rPr>
      <w:color w:val="0000FF"/>
      <w:u w:val="single"/>
    </w:rPr>
  </w:style>
  <w:style w:type="character" w:styleId="a5">
    <w:name w:val="annotation reference"/>
    <w:uiPriority w:val="99"/>
    <w:semiHidden/>
    <w:unhideWhenUsed/>
    <w:rsid w:val="00221AC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21ACC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21ACC"/>
    <w:rPr>
      <w:rFonts w:ascii="Calibri" w:eastAsia="Calibri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2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1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1ACC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uiPriority w:val="99"/>
    <w:unhideWhenUsed/>
    <w:rsid w:val="00221ACC"/>
    <w:rPr>
      <w:color w:val="0000FF"/>
      <w:u w:val="single"/>
    </w:rPr>
  </w:style>
  <w:style w:type="character" w:styleId="a5">
    <w:name w:val="annotation reference"/>
    <w:uiPriority w:val="99"/>
    <w:semiHidden/>
    <w:unhideWhenUsed/>
    <w:rsid w:val="00221AC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21ACC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21ACC"/>
    <w:rPr>
      <w:rFonts w:ascii="Calibri" w:eastAsia="Calibri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2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1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ps@cbr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br.ru" TargetMode="External"/><Relationship Id="rId5" Type="http://schemas.openxmlformats.org/officeDocument/2006/relationships/hyperlink" Target="http://www.cbr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Федечкина Кристина Геннадьевна</dc:creator>
  <cp:keywords/>
  <dc:description/>
  <cp:lastModifiedBy>Федечкина Кристина Геннадьевна</cp:lastModifiedBy>
  <cp:revision>1</cp:revision>
  <cp:lastPrinted>2017-08-04T05:23:00Z</cp:lastPrinted>
  <dcterms:created xsi:type="dcterms:W3CDTF">2017-08-04T05:18:00Z</dcterms:created>
  <dcterms:modified xsi:type="dcterms:W3CDTF">2017-08-04T05:23:00Z</dcterms:modified>
</cp:coreProperties>
</file>