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016" w:rsidRDefault="00FC5016">
      <w:pPr>
        <w:pStyle w:val="ConsPlusNormal"/>
        <w:jc w:val="both"/>
      </w:pPr>
    </w:p>
    <w:p w:rsidR="00FC5016" w:rsidRDefault="00FC5016">
      <w:pPr>
        <w:pStyle w:val="ConsPlusTitle"/>
        <w:jc w:val="center"/>
      </w:pPr>
      <w:r>
        <w:t>КАЛУЖСКАЯ ОБЛАСТЬ</w:t>
      </w:r>
    </w:p>
    <w:p w:rsidR="00FC5016" w:rsidRDefault="00FC5016">
      <w:pPr>
        <w:pStyle w:val="ConsPlusTitle"/>
        <w:jc w:val="center"/>
      </w:pPr>
      <w:r>
        <w:t>АДМИНИСТРАЦИЯ МУНИЦИПАЛЬНОГО РАЙОНА</w:t>
      </w:r>
    </w:p>
    <w:p w:rsidR="00FC5016" w:rsidRDefault="00FC5016">
      <w:pPr>
        <w:pStyle w:val="ConsPlusTitle"/>
        <w:jc w:val="center"/>
      </w:pPr>
      <w:r>
        <w:t>"МОСАЛЬСКИЙ РАЙОН"</w:t>
      </w:r>
    </w:p>
    <w:p w:rsidR="00FC5016" w:rsidRDefault="00FC5016">
      <w:pPr>
        <w:pStyle w:val="ConsPlusTitle"/>
        <w:jc w:val="center"/>
      </w:pPr>
    </w:p>
    <w:p w:rsidR="00FC5016" w:rsidRDefault="00FC5016">
      <w:pPr>
        <w:pStyle w:val="ConsPlusTitle"/>
        <w:jc w:val="center"/>
      </w:pPr>
      <w:r>
        <w:t>ПОСТАНОВЛЕНИЕ</w:t>
      </w:r>
    </w:p>
    <w:p w:rsidR="00FC5016" w:rsidRDefault="00FC5016">
      <w:pPr>
        <w:pStyle w:val="ConsPlusTitle"/>
        <w:jc w:val="center"/>
      </w:pPr>
      <w:r>
        <w:t>от 16 сентября 2015 г. N 373а</w:t>
      </w:r>
    </w:p>
    <w:p w:rsidR="00FC5016" w:rsidRDefault="00FC5016">
      <w:pPr>
        <w:pStyle w:val="ConsPlusTitle"/>
        <w:jc w:val="center"/>
      </w:pPr>
    </w:p>
    <w:p w:rsidR="00FC5016" w:rsidRDefault="00FC5016">
      <w:pPr>
        <w:pStyle w:val="ConsPlusTitle"/>
        <w:jc w:val="center"/>
      </w:pPr>
      <w:r>
        <w:t>О ПОРЯДКЕ РАЗРАБОТКИ И УТВЕРЖДЕНИЯ БЮДЖЕТНОГО ПРОГНОЗА</w:t>
      </w:r>
    </w:p>
    <w:p w:rsidR="00FC5016" w:rsidRDefault="00FC5016">
      <w:pPr>
        <w:pStyle w:val="ConsPlusTitle"/>
        <w:jc w:val="center"/>
      </w:pPr>
      <w:r>
        <w:t>МУНИЦИПАЛЬНОГО РАЙОНА "МОСАЛЬСКИЙ РАЙОН" НА ДОЛГОСРОЧНЫЙ</w:t>
      </w:r>
    </w:p>
    <w:p w:rsidR="00FC5016" w:rsidRDefault="00FC5016">
      <w:pPr>
        <w:pStyle w:val="ConsPlusTitle"/>
        <w:jc w:val="center"/>
      </w:pPr>
      <w:r>
        <w:t>ПЕРИОД</w:t>
      </w:r>
    </w:p>
    <w:p w:rsidR="00FC5016" w:rsidRDefault="00FC5016">
      <w:pPr>
        <w:pStyle w:val="ConsPlusNormal"/>
        <w:jc w:val="both"/>
      </w:pPr>
    </w:p>
    <w:p w:rsidR="00FC5016" w:rsidRDefault="00FC5016">
      <w:pPr>
        <w:pStyle w:val="ConsPlusNormal"/>
        <w:ind w:firstLine="540"/>
        <w:jc w:val="both"/>
      </w:pPr>
      <w:r>
        <w:t xml:space="preserve">В соответствии со </w:t>
      </w:r>
      <w:hyperlink r:id="rId4" w:history="1">
        <w:r>
          <w:rPr>
            <w:color w:val="0000FF"/>
          </w:rPr>
          <w:t>статьей 170.1</w:t>
        </w:r>
      </w:hyperlink>
      <w:r>
        <w:t xml:space="preserve"> Бюджетного кодекса Российской Федерации администрация муниципального района "Мосальский район"</w:t>
      </w:r>
    </w:p>
    <w:p w:rsidR="00FC5016" w:rsidRDefault="00FC5016">
      <w:pPr>
        <w:pStyle w:val="ConsPlusNormal"/>
        <w:ind w:firstLine="540"/>
        <w:jc w:val="both"/>
      </w:pPr>
      <w:r>
        <w:t>ПОСТАНОВЛЯЕТ:</w:t>
      </w:r>
    </w:p>
    <w:p w:rsidR="00FC5016" w:rsidRDefault="00FC5016">
      <w:pPr>
        <w:pStyle w:val="ConsPlusNormal"/>
        <w:jc w:val="both"/>
      </w:pPr>
    </w:p>
    <w:p w:rsidR="00FC5016" w:rsidRDefault="00FC5016">
      <w:pPr>
        <w:pStyle w:val="ConsPlusNormal"/>
        <w:ind w:firstLine="540"/>
        <w:jc w:val="both"/>
      </w:pPr>
      <w:r>
        <w:t xml:space="preserve">1. Утвердить </w:t>
      </w:r>
      <w:hyperlink w:anchor="P34" w:history="1">
        <w:r>
          <w:rPr>
            <w:color w:val="0000FF"/>
          </w:rPr>
          <w:t>Порядок</w:t>
        </w:r>
      </w:hyperlink>
      <w:r>
        <w:t xml:space="preserve"> разработки и утверждения бюджетного прогноза муниципального района "Мосальский район" на долгосрочный период (прилагается).</w:t>
      </w:r>
    </w:p>
    <w:p w:rsidR="00FC5016" w:rsidRDefault="00FC5016">
      <w:pPr>
        <w:pStyle w:val="ConsPlusNormal"/>
        <w:ind w:firstLine="540"/>
        <w:jc w:val="both"/>
      </w:pPr>
      <w:r>
        <w:t>2. Настоящее Постановление вступает в силу со дня его официального опубликования.</w:t>
      </w:r>
    </w:p>
    <w:p w:rsidR="00FC5016" w:rsidRDefault="00FC5016">
      <w:pPr>
        <w:pStyle w:val="ConsPlusNormal"/>
        <w:jc w:val="both"/>
      </w:pPr>
    </w:p>
    <w:p w:rsidR="00FC5016" w:rsidRDefault="00FC5016">
      <w:pPr>
        <w:pStyle w:val="ConsPlusNormal"/>
        <w:jc w:val="right"/>
      </w:pPr>
      <w:r>
        <w:t>И.о. Главы администрации</w:t>
      </w:r>
    </w:p>
    <w:p w:rsidR="00FC5016" w:rsidRDefault="00FC5016">
      <w:pPr>
        <w:pStyle w:val="ConsPlusNormal"/>
        <w:jc w:val="right"/>
      </w:pPr>
      <w:r>
        <w:t>муниципального района</w:t>
      </w:r>
    </w:p>
    <w:p w:rsidR="00FC5016" w:rsidRDefault="00FC5016">
      <w:pPr>
        <w:pStyle w:val="ConsPlusNormal"/>
        <w:jc w:val="right"/>
      </w:pPr>
      <w:r>
        <w:t>"Мосальский район"</w:t>
      </w:r>
    </w:p>
    <w:p w:rsidR="00FC5016" w:rsidRDefault="00FC5016">
      <w:pPr>
        <w:pStyle w:val="ConsPlusNormal"/>
        <w:jc w:val="right"/>
      </w:pPr>
      <w:r>
        <w:t>А.В.Кошелев</w:t>
      </w:r>
    </w:p>
    <w:p w:rsidR="00FC5016" w:rsidRDefault="00FC5016">
      <w:pPr>
        <w:pStyle w:val="ConsPlusNormal"/>
        <w:jc w:val="both"/>
      </w:pPr>
    </w:p>
    <w:p w:rsidR="00FC5016" w:rsidRDefault="00FC5016">
      <w:pPr>
        <w:pStyle w:val="ConsPlusNormal"/>
        <w:jc w:val="both"/>
      </w:pPr>
    </w:p>
    <w:p w:rsidR="00FC5016" w:rsidRDefault="00FC5016">
      <w:pPr>
        <w:pStyle w:val="ConsPlusNormal"/>
        <w:jc w:val="both"/>
      </w:pPr>
    </w:p>
    <w:p w:rsidR="00FC5016" w:rsidRDefault="00FC5016">
      <w:pPr>
        <w:pStyle w:val="ConsPlusNormal"/>
        <w:jc w:val="both"/>
      </w:pPr>
    </w:p>
    <w:p w:rsidR="00FC5016" w:rsidRDefault="00FC5016">
      <w:pPr>
        <w:pStyle w:val="ConsPlusNormal"/>
        <w:jc w:val="both"/>
      </w:pPr>
    </w:p>
    <w:p w:rsidR="00FC5016" w:rsidRDefault="00FC5016">
      <w:pPr>
        <w:pStyle w:val="ConsPlusNormal"/>
        <w:jc w:val="right"/>
      </w:pPr>
      <w:r>
        <w:t>Приложение</w:t>
      </w:r>
    </w:p>
    <w:p w:rsidR="00FC5016" w:rsidRDefault="00FC5016">
      <w:pPr>
        <w:pStyle w:val="ConsPlusNormal"/>
        <w:jc w:val="right"/>
      </w:pPr>
      <w:r>
        <w:t>к Постановлению</w:t>
      </w:r>
    </w:p>
    <w:p w:rsidR="00FC5016" w:rsidRDefault="00FC5016">
      <w:pPr>
        <w:pStyle w:val="ConsPlusNormal"/>
        <w:jc w:val="right"/>
      </w:pPr>
      <w:r>
        <w:t>администрации</w:t>
      </w:r>
    </w:p>
    <w:p w:rsidR="00FC5016" w:rsidRDefault="00FC5016">
      <w:pPr>
        <w:pStyle w:val="ConsPlusNormal"/>
        <w:jc w:val="right"/>
      </w:pPr>
      <w:r>
        <w:t>муниципального района</w:t>
      </w:r>
    </w:p>
    <w:p w:rsidR="00FC5016" w:rsidRDefault="00FC5016">
      <w:pPr>
        <w:pStyle w:val="ConsPlusNormal"/>
        <w:jc w:val="right"/>
      </w:pPr>
      <w:r>
        <w:t>"Мосальский район"</w:t>
      </w:r>
    </w:p>
    <w:p w:rsidR="00FC5016" w:rsidRDefault="00FC5016">
      <w:pPr>
        <w:pStyle w:val="ConsPlusNormal"/>
        <w:jc w:val="right"/>
      </w:pPr>
      <w:r>
        <w:t>от 16 сентября 2015 г. N 373а</w:t>
      </w:r>
    </w:p>
    <w:p w:rsidR="00FC5016" w:rsidRDefault="00FC5016">
      <w:pPr>
        <w:pStyle w:val="ConsPlusNormal"/>
        <w:jc w:val="both"/>
      </w:pPr>
    </w:p>
    <w:p w:rsidR="00FC5016" w:rsidRDefault="00FC5016">
      <w:pPr>
        <w:pStyle w:val="ConsPlusTitle"/>
        <w:jc w:val="center"/>
      </w:pPr>
      <w:bookmarkStart w:id="0" w:name="P34"/>
      <w:bookmarkEnd w:id="0"/>
      <w:r>
        <w:t>ПОРЯДОК</w:t>
      </w:r>
    </w:p>
    <w:p w:rsidR="00FC5016" w:rsidRDefault="00FC5016">
      <w:pPr>
        <w:pStyle w:val="ConsPlusTitle"/>
        <w:jc w:val="center"/>
      </w:pPr>
      <w:r>
        <w:t>РАЗРАБОТКИ И УТВЕРЖДЕНИЯ БЮДЖЕТНОГО ПРОГНОЗА МУНИЦИПАЛЬНОГО</w:t>
      </w:r>
    </w:p>
    <w:p w:rsidR="00FC5016" w:rsidRDefault="00FC5016">
      <w:pPr>
        <w:pStyle w:val="ConsPlusTitle"/>
        <w:jc w:val="center"/>
      </w:pPr>
      <w:r>
        <w:t>РАЙОНА "МОСАЛЬСКИЙ РАЙОН" НА ДОЛГОСРОЧНЫЙ ПЕРИОД</w:t>
      </w:r>
    </w:p>
    <w:p w:rsidR="00FC5016" w:rsidRDefault="00FC5016">
      <w:pPr>
        <w:pStyle w:val="ConsPlusNormal"/>
        <w:jc w:val="both"/>
      </w:pPr>
    </w:p>
    <w:p w:rsidR="00FC5016" w:rsidRDefault="00FC5016">
      <w:pPr>
        <w:pStyle w:val="ConsPlusNormal"/>
        <w:ind w:firstLine="540"/>
        <w:jc w:val="both"/>
      </w:pPr>
      <w:r>
        <w:t>1. Порядок разработки и утверждения бюджетного прогноза муниципального района "Мосальский район" на долгосрочный период определяет сроки, условия разработки и утверждения и требования к составу и содержанию бюджетного прогноза муниципального района "Мосальский район" на долгосрочный период (далее - Бюджетный прогноз).</w:t>
      </w:r>
    </w:p>
    <w:p w:rsidR="00FC5016" w:rsidRDefault="00FC5016">
      <w:pPr>
        <w:pStyle w:val="ConsPlusNormal"/>
        <w:ind w:firstLine="540"/>
        <w:jc w:val="both"/>
      </w:pPr>
      <w:r>
        <w:t>2. Бюджетный прогноз представляет собой документ, содержащий прогноз основных характеристик бюджета муниципального района "Мосальский район", показатели финансового обеспечения муниципальных программ муниципального района "Мосальский район" на период их действия, иные показатели, характеризующие бюджет муниципального района "Мосальский район", а также содержащий основные подходы к формированию бюджетной политики муниципального района "Мосальский район" на долгосрочный период.</w:t>
      </w:r>
    </w:p>
    <w:p w:rsidR="00FC5016" w:rsidRDefault="00FC5016">
      <w:pPr>
        <w:pStyle w:val="ConsPlusNormal"/>
        <w:ind w:firstLine="540"/>
        <w:jc w:val="both"/>
      </w:pPr>
      <w:r>
        <w:t>В составе основных подходов к формированию бюджетной политики муниципального района "Мосальский район" на долгосрочный период должны быть отражены основные итоги исполнения бюджета муниципального района "Мосальский район" за отчетный финансовый год.</w:t>
      </w:r>
    </w:p>
    <w:p w:rsidR="00FC5016" w:rsidRDefault="00FC5016">
      <w:pPr>
        <w:pStyle w:val="ConsPlusNormal"/>
        <w:ind w:firstLine="540"/>
        <w:jc w:val="both"/>
      </w:pPr>
      <w:r>
        <w:t xml:space="preserve">3. Разработка Бюджетного прогноза осуществляется финансовым отделом администрации </w:t>
      </w:r>
      <w:r>
        <w:lastRenderedPageBreak/>
        <w:t>муниципального района "Мосальский район" на основе Прогноза социально-экономического развития муниципального района "Мосальский район" на долгосрочный период.</w:t>
      </w:r>
    </w:p>
    <w:p w:rsidR="00FC5016" w:rsidRDefault="00FC5016">
      <w:pPr>
        <w:pStyle w:val="ConsPlusNormal"/>
        <w:ind w:firstLine="540"/>
        <w:jc w:val="both"/>
      </w:pPr>
      <w:r>
        <w:t>4. Бюджетный прогноз разрабатывается каждые три года на шесть и более лет и может быть изменен с учетом изменений Прогноза социально-экономического развития муниципального района "Мосальский район" на долгосрочный период и принятого решения Районного Собрания муниципального района "Мосальский район" о бюджете муниципального района "Мосальский район" на очередной финансовый год и плановый период без продления периода его действия.</w:t>
      </w:r>
    </w:p>
    <w:p w:rsidR="00FC5016" w:rsidRDefault="00FC5016">
      <w:pPr>
        <w:pStyle w:val="ConsPlusNormal"/>
        <w:ind w:firstLine="540"/>
        <w:jc w:val="both"/>
      </w:pPr>
      <w:r>
        <w:t>5. Прогноз социально-экономического развития муниципального района "Мосальский район" на долгосрочный период представляется отделом экономического развития администрации муниципального района "Мосальский район" в финансовый отдел администрации муниципального района "Мосальский район" не позднее 1 октября текущего года.</w:t>
      </w:r>
    </w:p>
    <w:p w:rsidR="00FC5016" w:rsidRDefault="00FC5016">
      <w:pPr>
        <w:pStyle w:val="ConsPlusNormal"/>
        <w:ind w:firstLine="540"/>
        <w:jc w:val="both"/>
      </w:pPr>
      <w:r>
        <w:t xml:space="preserve">6. </w:t>
      </w:r>
      <w:hyperlink w:anchor="P58" w:history="1">
        <w:r>
          <w:rPr>
            <w:color w:val="0000FF"/>
          </w:rPr>
          <w:t>Бюджетный прогноз</w:t>
        </w:r>
      </w:hyperlink>
      <w:r>
        <w:t xml:space="preserve"> разрабатывается по форме согласно приложению к настоящему Порядку.</w:t>
      </w:r>
    </w:p>
    <w:p w:rsidR="00FC5016" w:rsidRDefault="00FC5016">
      <w:pPr>
        <w:pStyle w:val="ConsPlusNormal"/>
        <w:ind w:firstLine="540"/>
        <w:jc w:val="both"/>
      </w:pPr>
      <w:r>
        <w:t xml:space="preserve">7. Проект Бюджетного прогноза (за исключением показателей финансового обеспечения муниципальных программ муниципального района "Мосальский район") направляется в Районное Собрание муниципального района "Мосальский район" в составе документов и материалов к проекту решения Районного Собрания муниципального района "Мосальский район" о бюджете муниципального района "Мосальский район" на очередной финансовый год и плановый период в сроки, установленные </w:t>
      </w:r>
      <w:hyperlink r:id="rId5" w:history="1">
        <w:r>
          <w:rPr>
            <w:color w:val="0000FF"/>
          </w:rPr>
          <w:t>решением</w:t>
        </w:r>
      </w:hyperlink>
      <w:r>
        <w:t xml:space="preserve"> Районного Собрания МО "Мосальский район" "Об утверждении Положения "О бюджетном процессе в муниципальном районе "Мосальский район".</w:t>
      </w:r>
    </w:p>
    <w:p w:rsidR="00FC5016" w:rsidRDefault="00FC5016">
      <w:pPr>
        <w:pStyle w:val="ConsPlusNormal"/>
        <w:ind w:firstLine="540"/>
        <w:jc w:val="both"/>
      </w:pPr>
      <w:r>
        <w:t>8. Бюджетный прогноз утверждается администрацией муниципального района "Мосальский район" в срок, не превышающий двух месяцев со дня официального опубликования решения Районного Собрания муниципального района "Мосальский район" о бюджете муниципального района "Мосальский район" на очередной финансовый год и плановый период.</w:t>
      </w:r>
    </w:p>
    <w:p w:rsidR="00FC5016" w:rsidRDefault="00FC5016">
      <w:pPr>
        <w:pStyle w:val="ConsPlusNormal"/>
        <w:jc w:val="both"/>
      </w:pPr>
    </w:p>
    <w:p w:rsidR="00FC5016" w:rsidRDefault="00FC5016">
      <w:pPr>
        <w:pStyle w:val="ConsPlusNormal"/>
        <w:jc w:val="both"/>
      </w:pPr>
    </w:p>
    <w:p w:rsidR="00FC5016" w:rsidRDefault="00FC5016">
      <w:pPr>
        <w:pStyle w:val="ConsPlusNormal"/>
        <w:jc w:val="both"/>
      </w:pPr>
    </w:p>
    <w:p w:rsidR="00FC5016" w:rsidRDefault="00FC5016">
      <w:pPr>
        <w:pStyle w:val="ConsPlusNormal"/>
        <w:jc w:val="both"/>
      </w:pPr>
    </w:p>
    <w:p w:rsidR="00FC5016" w:rsidRDefault="00FC5016">
      <w:pPr>
        <w:pStyle w:val="ConsPlusNormal"/>
        <w:jc w:val="both"/>
      </w:pPr>
    </w:p>
    <w:p w:rsidR="00FC5016" w:rsidRDefault="00FC5016">
      <w:pPr>
        <w:pStyle w:val="ConsPlusNormal"/>
        <w:jc w:val="right"/>
      </w:pPr>
      <w:r>
        <w:t>Приложение</w:t>
      </w:r>
    </w:p>
    <w:p w:rsidR="00FC5016" w:rsidRDefault="00FC5016">
      <w:pPr>
        <w:pStyle w:val="ConsPlusNormal"/>
        <w:jc w:val="right"/>
      </w:pPr>
      <w:r>
        <w:t>к Порядку</w:t>
      </w:r>
    </w:p>
    <w:p w:rsidR="00FC5016" w:rsidRDefault="00FC5016">
      <w:pPr>
        <w:pStyle w:val="ConsPlusNormal"/>
        <w:jc w:val="right"/>
      </w:pPr>
      <w:r>
        <w:t>разработки и утверждения бюджетного прогноза</w:t>
      </w:r>
    </w:p>
    <w:p w:rsidR="00FC5016" w:rsidRDefault="00FC5016">
      <w:pPr>
        <w:pStyle w:val="ConsPlusNormal"/>
        <w:jc w:val="right"/>
      </w:pPr>
      <w:r>
        <w:t>муниципального района "Мосальский район"</w:t>
      </w:r>
    </w:p>
    <w:p w:rsidR="00FC5016" w:rsidRDefault="00FC5016">
      <w:pPr>
        <w:pStyle w:val="ConsPlusNormal"/>
        <w:jc w:val="right"/>
      </w:pPr>
      <w:r>
        <w:t>на долгосрочный период</w:t>
      </w:r>
    </w:p>
    <w:p w:rsidR="00FC5016" w:rsidRDefault="00FC5016">
      <w:pPr>
        <w:pStyle w:val="ConsPlusNormal"/>
        <w:jc w:val="both"/>
      </w:pPr>
    </w:p>
    <w:p w:rsidR="00FC5016" w:rsidRDefault="00FC5016">
      <w:pPr>
        <w:pStyle w:val="ConsPlusTitle"/>
        <w:jc w:val="center"/>
      </w:pPr>
      <w:bookmarkStart w:id="1" w:name="P58"/>
      <w:bookmarkEnd w:id="1"/>
      <w:r>
        <w:t>БЮДЖЕТНЫЙ ПРОГНОЗ</w:t>
      </w:r>
    </w:p>
    <w:p w:rsidR="00FC5016" w:rsidRDefault="00FC5016">
      <w:pPr>
        <w:pStyle w:val="ConsPlusTitle"/>
        <w:jc w:val="center"/>
      </w:pPr>
      <w:r>
        <w:t>МУНИЦИПАЛЬНОГО РАЙОНА "МОСАЛЬСКИЙ РАЙОН" НА ДОЛГОСРОЧНЫЙ</w:t>
      </w:r>
    </w:p>
    <w:p w:rsidR="00FC5016" w:rsidRDefault="00FC5016">
      <w:pPr>
        <w:pStyle w:val="ConsPlusTitle"/>
        <w:jc w:val="center"/>
      </w:pPr>
      <w:r>
        <w:t>ПЕРИОД</w:t>
      </w:r>
    </w:p>
    <w:p w:rsidR="00FC5016" w:rsidRDefault="00FC5016">
      <w:pPr>
        <w:pStyle w:val="ConsPlusNormal"/>
        <w:jc w:val="both"/>
      </w:pPr>
    </w:p>
    <w:p w:rsidR="00FC5016" w:rsidRDefault="00FC5016">
      <w:pPr>
        <w:pStyle w:val="ConsPlusNormal"/>
        <w:jc w:val="center"/>
      </w:pPr>
      <w:r>
        <w:t>I. Основные подходы к формированию бюджетной политики</w:t>
      </w:r>
    </w:p>
    <w:p w:rsidR="00FC5016" w:rsidRDefault="00FC5016">
      <w:pPr>
        <w:pStyle w:val="ConsPlusNormal"/>
        <w:jc w:val="center"/>
      </w:pPr>
      <w:r>
        <w:t>муниципального района "Мосальский район" на долгосрочный</w:t>
      </w:r>
    </w:p>
    <w:p w:rsidR="00FC5016" w:rsidRDefault="00FC5016">
      <w:pPr>
        <w:pStyle w:val="ConsPlusNormal"/>
        <w:jc w:val="center"/>
      </w:pPr>
      <w:r>
        <w:t>период</w:t>
      </w:r>
    </w:p>
    <w:p w:rsidR="00FC5016" w:rsidRDefault="00FC5016">
      <w:pPr>
        <w:pStyle w:val="ConsPlusNormal"/>
        <w:jc w:val="both"/>
      </w:pPr>
    </w:p>
    <w:p w:rsidR="00FC5016" w:rsidRDefault="00FC5016">
      <w:pPr>
        <w:pStyle w:val="ConsPlusNormal"/>
        <w:jc w:val="center"/>
      </w:pPr>
      <w:r>
        <w:t>II. Прогноз основных характеристик и иных показателей</w:t>
      </w:r>
    </w:p>
    <w:p w:rsidR="00FC5016" w:rsidRDefault="00FC5016">
      <w:pPr>
        <w:pStyle w:val="ConsPlusNormal"/>
        <w:jc w:val="center"/>
      </w:pPr>
      <w:r>
        <w:t>бюджета муниципального района "Мосальский район"</w:t>
      </w:r>
    </w:p>
    <w:p w:rsidR="00FC5016" w:rsidRDefault="00FC5016">
      <w:pPr>
        <w:pStyle w:val="ConsPlusNormal"/>
        <w:jc w:val="center"/>
      </w:pPr>
      <w:r>
        <w:t>на долгосрочный период</w:t>
      </w:r>
    </w:p>
    <w:p w:rsidR="00FC5016" w:rsidRDefault="00FC5016">
      <w:pPr>
        <w:pStyle w:val="ConsPlusNormal"/>
        <w:jc w:val="both"/>
      </w:pPr>
    </w:p>
    <w:p w:rsidR="00FC5016" w:rsidRDefault="00FC5016">
      <w:pPr>
        <w:pStyle w:val="ConsPlusNormal"/>
        <w:jc w:val="right"/>
      </w:pPr>
      <w:r>
        <w:t>(млн. рублей)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6236"/>
        <w:gridCol w:w="1418"/>
        <w:gridCol w:w="1275"/>
      </w:tblGrid>
      <w:tr w:rsidR="00FC5016">
        <w:tc>
          <w:tcPr>
            <w:tcW w:w="6236" w:type="dxa"/>
            <w:vMerge w:val="restart"/>
          </w:tcPr>
          <w:p w:rsidR="00FC5016" w:rsidRDefault="00FC5016">
            <w:pPr>
              <w:pStyle w:val="ConsPlusNormal"/>
              <w:jc w:val="center"/>
            </w:pPr>
            <w:r>
              <w:t>Наименование</w:t>
            </w:r>
          </w:p>
        </w:tc>
        <w:tc>
          <w:tcPr>
            <w:tcW w:w="2693" w:type="dxa"/>
            <w:gridSpan w:val="2"/>
          </w:tcPr>
          <w:p w:rsidR="00FC5016" w:rsidRDefault="00FC5016">
            <w:pPr>
              <w:pStyle w:val="ConsPlusNormal"/>
              <w:jc w:val="center"/>
            </w:pPr>
            <w:r>
              <w:t>Период</w:t>
            </w:r>
          </w:p>
        </w:tc>
      </w:tr>
      <w:tr w:rsidR="00FC5016">
        <w:tc>
          <w:tcPr>
            <w:tcW w:w="6236" w:type="dxa"/>
            <w:vMerge/>
          </w:tcPr>
          <w:p w:rsidR="00FC5016" w:rsidRDefault="00FC5016"/>
        </w:tc>
        <w:tc>
          <w:tcPr>
            <w:tcW w:w="1418" w:type="dxa"/>
          </w:tcPr>
          <w:p w:rsidR="00FC5016" w:rsidRDefault="00FC5016">
            <w:pPr>
              <w:pStyle w:val="ConsPlusNormal"/>
              <w:jc w:val="center"/>
            </w:pPr>
            <w:proofErr w:type="spellStart"/>
            <w:r>
              <w:t>n</w:t>
            </w:r>
            <w:proofErr w:type="spellEnd"/>
            <w:r>
              <w:t xml:space="preserve"> 1 (по годам)</w:t>
            </w:r>
          </w:p>
        </w:tc>
        <w:tc>
          <w:tcPr>
            <w:tcW w:w="1275" w:type="dxa"/>
          </w:tcPr>
          <w:p w:rsidR="00FC5016" w:rsidRDefault="00FC5016">
            <w:pPr>
              <w:pStyle w:val="ConsPlusNormal"/>
              <w:jc w:val="center"/>
            </w:pPr>
            <w:proofErr w:type="spellStart"/>
            <w:r>
              <w:t>n</w:t>
            </w:r>
            <w:proofErr w:type="spellEnd"/>
            <w:r>
              <w:t xml:space="preserve"> 2 (по годам)</w:t>
            </w:r>
          </w:p>
        </w:tc>
      </w:tr>
      <w:tr w:rsidR="00FC5016">
        <w:tc>
          <w:tcPr>
            <w:tcW w:w="6236" w:type="dxa"/>
          </w:tcPr>
          <w:p w:rsidR="00FC5016" w:rsidRDefault="00FC5016">
            <w:pPr>
              <w:pStyle w:val="ConsPlusNormal"/>
            </w:pPr>
            <w:r>
              <w:lastRenderedPageBreak/>
              <w:t>ДОХОДЫ - всего</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t>В том числе:</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t>- налоговые доходы</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t>- неналоговые доходы</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t>- безвозмездные поступления</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t>из них:</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t>межбюджетные трансферты из федерального и областного бюджетов</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t>дотации</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t>субсидии</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t>субвенции</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t>иные межбюджетные трансферты</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t>РАСХОДЫ - всего</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t>В том числе:</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t>- процентные</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t>- непроцентные (без межбюджетных трансфертов)</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t>- межбюджетные трансферты</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t>из них:</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t>дотации</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t>субсидии</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t>субвенции</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t>иные межбюджетные трансферты</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t>ДЕФИЦИТ (+), ПРОФИЦИТ (-)</w:t>
            </w:r>
          </w:p>
        </w:tc>
        <w:tc>
          <w:tcPr>
            <w:tcW w:w="1418" w:type="dxa"/>
          </w:tcPr>
          <w:p w:rsidR="00FC5016" w:rsidRDefault="00FC5016">
            <w:pPr>
              <w:pStyle w:val="ConsPlusNormal"/>
            </w:pPr>
          </w:p>
        </w:tc>
        <w:tc>
          <w:tcPr>
            <w:tcW w:w="1275" w:type="dxa"/>
          </w:tcPr>
          <w:p w:rsidR="00FC5016" w:rsidRDefault="00FC5016">
            <w:pPr>
              <w:pStyle w:val="ConsPlusNormal"/>
            </w:pPr>
          </w:p>
        </w:tc>
      </w:tr>
    </w:tbl>
    <w:p w:rsidR="00FC5016" w:rsidRDefault="00FC5016">
      <w:pPr>
        <w:pStyle w:val="ConsPlusNormal"/>
        <w:jc w:val="both"/>
      </w:pPr>
    </w:p>
    <w:p w:rsidR="00FC5016" w:rsidRDefault="00FC5016">
      <w:pPr>
        <w:pStyle w:val="ConsPlusNormal"/>
        <w:jc w:val="center"/>
      </w:pPr>
      <w:r>
        <w:t>III. Прогноз основных характеристик консолидированного</w:t>
      </w:r>
    </w:p>
    <w:p w:rsidR="00FC5016" w:rsidRDefault="00FC5016">
      <w:pPr>
        <w:pStyle w:val="ConsPlusNormal"/>
        <w:jc w:val="center"/>
      </w:pPr>
      <w:r>
        <w:t>бюджета муниципального района "Мосальский район"</w:t>
      </w:r>
    </w:p>
    <w:p w:rsidR="00FC5016" w:rsidRDefault="00FC5016">
      <w:pPr>
        <w:pStyle w:val="ConsPlusNormal"/>
        <w:jc w:val="center"/>
      </w:pPr>
      <w:r>
        <w:t>на долгосрочный период</w:t>
      </w:r>
    </w:p>
    <w:p w:rsidR="00FC5016" w:rsidRDefault="00FC5016">
      <w:pPr>
        <w:pStyle w:val="ConsPlusNormal"/>
        <w:jc w:val="both"/>
      </w:pPr>
    </w:p>
    <w:p w:rsidR="00FC5016" w:rsidRDefault="00FC5016">
      <w:pPr>
        <w:pStyle w:val="ConsPlusNormal"/>
        <w:jc w:val="right"/>
      </w:pPr>
      <w:r>
        <w:t>(</w:t>
      </w:r>
      <w:proofErr w:type="spellStart"/>
      <w:r>
        <w:t>млн</w:t>
      </w:r>
      <w:proofErr w:type="spellEnd"/>
      <w:r>
        <w:t xml:space="preserve"> рублей)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6236"/>
        <w:gridCol w:w="1418"/>
        <w:gridCol w:w="1275"/>
      </w:tblGrid>
      <w:tr w:rsidR="00FC5016">
        <w:tc>
          <w:tcPr>
            <w:tcW w:w="6236" w:type="dxa"/>
            <w:vMerge w:val="restart"/>
          </w:tcPr>
          <w:p w:rsidR="00FC5016" w:rsidRDefault="00FC5016">
            <w:pPr>
              <w:pStyle w:val="ConsPlusNormal"/>
              <w:jc w:val="center"/>
            </w:pPr>
            <w:r>
              <w:t>Наименование</w:t>
            </w:r>
          </w:p>
        </w:tc>
        <w:tc>
          <w:tcPr>
            <w:tcW w:w="2693" w:type="dxa"/>
            <w:gridSpan w:val="2"/>
          </w:tcPr>
          <w:p w:rsidR="00FC5016" w:rsidRDefault="00FC5016">
            <w:pPr>
              <w:pStyle w:val="ConsPlusNormal"/>
              <w:jc w:val="center"/>
            </w:pPr>
            <w:r>
              <w:t>Период</w:t>
            </w:r>
          </w:p>
        </w:tc>
      </w:tr>
      <w:tr w:rsidR="00FC5016">
        <w:tc>
          <w:tcPr>
            <w:tcW w:w="6236" w:type="dxa"/>
            <w:vMerge/>
          </w:tcPr>
          <w:p w:rsidR="00FC5016" w:rsidRDefault="00FC5016"/>
        </w:tc>
        <w:tc>
          <w:tcPr>
            <w:tcW w:w="1418" w:type="dxa"/>
          </w:tcPr>
          <w:p w:rsidR="00FC5016" w:rsidRDefault="00FC5016">
            <w:pPr>
              <w:pStyle w:val="ConsPlusNormal"/>
              <w:jc w:val="center"/>
            </w:pPr>
            <w:proofErr w:type="spellStart"/>
            <w:r>
              <w:t>n</w:t>
            </w:r>
            <w:proofErr w:type="spellEnd"/>
            <w:r>
              <w:t xml:space="preserve"> 1 (по годам)</w:t>
            </w:r>
          </w:p>
        </w:tc>
        <w:tc>
          <w:tcPr>
            <w:tcW w:w="1275" w:type="dxa"/>
          </w:tcPr>
          <w:p w:rsidR="00FC5016" w:rsidRDefault="00FC5016">
            <w:pPr>
              <w:pStyle w:val="ConsPlusNormal"/>
              <w:jc w:val="center"/>
            </w:pPr>
            <w:proofErr w:type="spellStart"/>
            <w:r>
              <w:t>n</w:t>
            </w:r>
            <w:proofErr w:type="spellEnd"/>
            <w:r>
              <w:t xml:space="preserve"> 2 (по годам)</w:t>
            </w:r>
          </w:p>
        </w:tc>
      </w:tr>
      <w:tr w:rsidR="00FC5016">
        <w:tc>
          <w:tcPr>
            <w:tcW w:w="6236" w:type="dxa"/>
          </w:tcPr>
          <w:p w:rsidR="00FC5016" w:rsidRDefault="00FC5016">
            <w:pPr>
              <w:pStyle w:val="ConsPlusNormal"/>
            </w:pPr>
            <w:r>
              <w:t>ДОХОДЫ - всего</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lastRenderedPageBreak/>
              <w:t>РАСХОДЫ - всего</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t>ДЕФИЦИТ (+), ПРОФИЦИТ (-)</w:t>
            </w:r>
          </w:p>
        </w:tc>
        <w:tc>
          <w:tcPr>
            <w:tcW w:w="1418" w:type="dxa"/>
          </w:tcPr>
          <w:p w:rsidR="00FC5016" w:rsidRDefault="00FC5016">
            <w:pPr>
              <w:pStyle w:val="ConsPlusNormal"/>
            </w:pPr>
          </w:p>
        </w:tc>
        <w:tc>
          <w:tcPr>
            <w:tcW w:w="1275" w:type="dxa"/>
          </w:tcPr>
          <w:p w:rsidR="00FC5016" w:rsidRDefault="00FC5016">
            <w:pPr>
              <w:pStyle w:val="ConsPlusNormal"/>
            </w:pPr>
          </w:p>
        </w:tc>
      </w:tr>
    </w:tbl>
    <w:p w:rsidR="00FC5016" w:rsidRDefault="00FC5016">
      <w:pPr>
        <w:pStyle w:val="ConsPlusNormal"/>
        <w:jc w:val="both"/>
      </w:pPr>
    </w:p>
    <w:p w:rsidR="00FC5016" w:rsidRDefault="00FC5016">
      <w:pPr>
        <w:pStyle w:val="ConsPlusNormal"/>
        <w:jc w:val="center"/>
      </w:pPr>
      <w:r>
        <w:t>IV. Показатели долговой нагрузки бюджета муниципального</w:t>
      </w:r>
    </w:p>
    <w:p w:rsidR="00FC5016" w:rsidRDefault="00FC5016">
      <w:pPr>
        <w:pStyle w:val="ConsPlusNormal"/>
        <w:jc w:val="center"/>
      </w:pPr>
      <w:r>
        <w:t>района "Мосальский район" на долгосрочный период</w:t>
      </w:r>
    </w:p>
    <w:p w:rsidR="00FC5016" w:rsidRDefault="00FC5016">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4932"/>
        <w:gridCol w:w="1304"/>
        <w:gridCol w:w="1418"/>
        <w:gridCol w:w="1275"/>
      </w:tblGrid>
      <w:tr w:rsidR="00FC5016">
        <w:tc>
          <w:tcPr>
            <w:tcW w:w="4932" w:type="dxa"/>
            <w:vMerge w:val="restart"/>
          </w:tcPr>
          <w:p w:rsidR="00FC5016" w:rsidRDefault="00FC5016">
            <w:pPr>
              <w:pStyle w:val="ConsPlusNormal"/>
              <w:jc w:val="center"/>
            </w:pPr>
            <w:r>
              <w:t>Наименование</w:t>
            </w:r>
          </w:p>
        </w:tc>
        <w:tc>
          <w:tcPr>
            <w:tcW w:w="1304" w:type="dxa"/>
            <w:vMerge w:val="restart"/>
          </w:tcPr>
          <w:p w:rsidR="00FC5016" w:rsidRDefault="00FC5016">
            <w:pPr>
              <w:pStyle w:val="ConsPlusNormal"/>
              <w:jc w:val="center"/>
            </w:pPr>
            <w:r>
              <w:t>Единица измерения</w:t>
            </w:r>
          </w:p>
        </w:tc>
        <w:tc>
          <w:tcPr>
            <w:tcW w:w="2693" w:type="dxa"/>
            <w:gridSpan w:val="2"/>
          </w:tcPr>
          <w:p w:rsidR="00FC5016" w:rsidRDefault="00FC5016">
            <w:pPr>
              <w:pStyle w:val="ConsPlusNormal"/>
              <w:jc w:val="center"/>
            </w:pPr>
            <w:r>
              <w:t>Период</w:t>
            </w:r>
          </w:p>
        </w:tc>
      </w:tr>
      <w:tr w:rsidR="00FC5016">
        <w:tc>
          <w:tcPr>
            <w:tcW w:w="4932" w:type="dxa"/>
            <w:vMerge/>
          </w:tcPr>
          <w:p w:rsidR="00FC5016" w:rsidRDefault="00FC5016"/>
        </w:tc>
        <w:tc>
          <w:tcPr>
            <w:tcW w:w="1304" w:type="dxa"/>
            <w:vMerge/>
          </w:tcPr>
          <w:p w:rsidR="00FC5016" w:rsidRDefault="00FC5016"/>
        </w:tc>
        <w:tc>
          <w:tcPr>
            <w:tcW w:w="1418" w:type="dxa"/>
          </w:tcPr>
          <w:p w:rsidR="00FC5016" w:rsidRDefault="00FC5016">
            <w:pPr>
              <w:pStyle w:val="ConsPlusNormal"/>
              <w:jc w:val="center"/>
            </w:pPr>
            <w:proofErr w:type="spellStart"/>
            <w:r>
              <w:t>n</w:t>
            </w:r>
            <w:proofErr w:type="spellEnd"/>
            <w:r>
              <w:t xml:space="preserve"> </w:t>
            </w:r>
            <w:proofErr w:type="spellStart"/>
            <w:r>
              <w:t>l</w:t>
            </w:r>
            <w:proofErr w:type="spellEnd"/>
            <w:r>
              <w:t xml:space="preserve"> (по годам)</w:t>
            </w:r>
          </w:p>
        </w:tc>
        <w:tc>
          <w:tcPr>
            <w:tcW w:w="1275" w:type="dxa"/>
          </w:tcPr>
          <w:p w:rsidR="00FC5016" w:rsidRDefault="00FC5016">
            <w:pPr>
              <w:pStyle w:val="ConsPlusNormal"/>
              <w:jc w:val="center"/>
            </w:pPr>
            <w:proofErr w:type="spellStart"/>
            <w:r>
              <w:t>n</w:t>
            </w:r>
            <w:proofErr w:type="spellEnd"/>
            <w:r>
              <w:t xml:space="preserve"> 2 (по годам)</w:t>
            </w:r>
          </w:p>
        </w:tc>
      </w:tr>
      <w:tr w:rsidR="00FC5016">
        <w:tc>
          <w:tcPr>
            <w:tcW w:w="4932" w:type="dxa"/>
          </w:tcPr>
          <w:p w:rsidR="00FC5016" w:rsidRDefault="00FC5016">
            <w:pPr>
              <w:pStyle w:val="ConsPlusNormal"/>
            </w:pPr>
            <w:r>
              <w:t>Объем муниципального долга, всего на конец периода</w:t>
            </w:r>
          </w:p>
        </w:tc>
        <w:tc>
          <w:tcPr>
            <w:tcW w:w="1304" w:type="dxa"/>
          </w:tcPr>
          <w:p w:rsidR="00FC5016" w:rsidRDefault="00FC5016">
            <w:pPr>
              <w:pStyle w:val="ConsPlusNormal"/>
            </w:pPr>
            <w:proofErr w:type="spellStart"/>
            <w:r>
              <w:t>млн</w:t>
            </w:r>
            <w:proofErr w:type="spellEnd"/>
            <w:r>
              <w:t xml:space="preserve"> рублей</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4932" w:type="dxa"/>
          </w:tcPr>
          <w:p w:rsidR="00FC5016" w:rsidRDefault="00FC5016">
            <w:pPr>
              <w:pStyle w:val="ConsPlusNormal"/>
            </w:pPr>
            <w:r>
              <w:t>Из них:</w:t>
            </w:r>
          </w:p>
        </w:tc>
        <w:tc>
          <w:tcPr>
            <w:tcW w:w="1304" w:type="dxa"/>
          </w:tcPr>
          <w:p w:rsidR="00FC5016" w:rsidRDefault="00FC5016">
            <w:pPr>
              <w:pStyle w:val="ConsPlusNormal"/>
            </w:pP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4932" w:type="dxa"/>
          </w:tcPr>
          <w:p w:rsidR="00FC5016" w:rsidRDefault="00FC5016">
            <w:pPr>
              <w:pStyle w:val="ConsPlusNormal"/>
            </w:pPr>
            <w:r>
              <w:t>1. Ценные бумаги</w:t>
            </w:r>
          </w:p>
        </w:tc>
        <w:tc>
          <w:tcPr>
            <w:tcW w:w="1304" w:type="dxa"/>
          </w:tcPr>
          <w:p w:rsidR="00FC5016" w:rsidRDefault="00FC5016">
            <w:pPr>
              <w:pStyle w:val="ConsPlusNormal"/>
            </w:pPr>
            <w:proofErr w:type="spellStart"/>
            <w:r>
              <w:t>млн</w:t>
            </w:r>
            <w:proofErr w:type="spellEnd"/>
            <w:r>
              <w:t xml:space="preserve"> рублей</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4932" w:type="dxa"/>
          </w:tcPr>
          <w:p w:rsidR="00FC5016" w:rsidRDefault="00FC5016">
            <w:pPr>
              <w:pStyle w:val="ConsPlusNormal"/>
            </w:pPr>
            <w:r>
              <w:t>Средний срок размещения</w:t>
            </w:r>
          </w:p>
        </w:tc>
        <w:tc>
          <w:tcPr>
            <w:tcW w:w="1304" w:type="dxa"/>
          </w:tcPr>
          <w:p w:rsidR="00FC5016" w:rsidRDefault="00FC5016">
            <w:pPr>
              <w:pStyle w:val="ConsPlusNormal"/>
            </w:pPr>
            <w:r>
              <w:t>лет</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4932" w:type="dxa"/>
          </w:tcPr>
          <w:p w:rsidR="00FC5016" w:rsidRDefault="00FC5016">
            <w:pPr>
              <w:pStyle w:val="ConsPlusNormal"/>
            </w:pPr>
            <w:r>
              <w:t>2. Кредиты кредитных организаций</w:t>
            </w:r>
          </w:p>
        </w:tc>
        <w:tc>
          <w:tcPr>
            <w:tcW w:w="1304" w:type="dxa"/>
          </w:tcPr>
          <w:p w:rsidR="00FC5016" w:rsidRDefault="00FC5016">
            <w:pPr>
              <w:pStyle w:val="ConsPlusNormal"/>
            </w:pPr>
            <w:proofErr w:type="spellStart"/>
            <w:r>
              <w:t>млн</w:t>
            </w:r>
            <w:proofErr w:type="spellEnd"/>
            <w:r>
              <w:t xml:space="preserve"> рублей</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4932" w:type="dxa"/>
          </w:tcPr>
          <w:p w:rsidR="00FC5016" w:rsidRDefault="00FC5016">
            <w:pPr>
              <w:pStyle w:val="ConsPlusNormal"/>
            </w:pPr>
            <w:r>
              <w:t>Средний срок кредитов</w:t>
            </w:r>
          </w:p>
        </w:tc>
        <w:tc>
          <w:tcPr>
            <w:tcW w:w="1304" w:type="dxa"/>
          </w:tcPr>
          <w:p w:rsidR="00FC5016" w:rsidRDefault="00FC5016">
            <w:pPr>
              <w:pStyle w:val="ConsPlusNormal"/>
            </w:pPr>
            <w:r>
              <w:t>лет</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4932" w:type="dxa"/>
          </w:tcPr>
          <w:p w:rsidR="00FC5016" w:rsidRDefault="00FC5016">
            <w:pPr>
              <w:pStyle w:val="ConsPlusNormal"/>
            </w:pPr>
            <w:r>
              <w:t>3. Бюджетные кредиты из областного бюджета</w:t>
            </w:r>
          </w:p>
        </w:tc>
        <w:tc>
          <w:tcPr>
            <w:tcW w:w="1304" w:type="dxa"/>
          </w:tcPr>
          <w:p w:rsidR="00FC5016" w:rsidRDefault="00FC5016">
            <w:pPr>
              <w:pStyle w:val="ConsPlusNormal"/>
            </w:pPr>
            <w:proofErr w:type="spellStart"/>
            <w:r>
              <w:t>млн</w:t>
            </w:r>
            <w:proofErr w:type="spellEnd"/>
            <w:r>
              <w:t xml:space="preserve"> рублей</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4932" w:type="dxa"/>
          </w:tcPr>
          <w:p w:rsidR="00FC5016" w:rsidRDefault="00FC5016">
            <w:pPr>
              <w:pStyle w:val="ConsPlusNormal"/>
            </w:pPr>
            <w:r>
              <w:t>Средний срок кредитов</w:t>
            </w:r>
          </w:p>
        </w:tc>
        <w:tc>
          <w:tcPr>
            <w:tcW w:w="1304" w:type="dxa"/>
          </w:tcPr>
          <w:p w:rsidR="00FC5016" w:rsidRDefault="00FC5016">
            <w:pPr>
              <w:pStyle w:val="ConsPlusNormal"/>
            </w:pPr>
            <w:r>
              <w:t>лет</w:t>
            </w:r>
          </w:p>
        </w:tc>
        <w:tc>
          <w:tcPr>
            <w:tcW w:w="1418" w:type="dxa"/>
          </w:tcPr>
          <w:p w:rsidR="00FC5016" w:rsidRDefault="00FC5016">
            <w:pPr>
              <w:pStyle w:val="ConsPlusNormal"/>
            </w:pPr>
          </w:p>
        </w:tc>
        <w:tc>
          <w:tcPr>
            <w:tcW w:w="1275" w:type="dxa"/>
          </w:tcPr>
          <w:p w:rsidR="00FC5016" w:rsidRDefault="00FC5016">
            <w:pPr>
              <w:pStyle w:val="ConsPlusNormal"/>
            </w:pPr>
          </w:p>
        </w:tc>
      </w:tr>
    </w:tbl>
    <w:p w:rsidR="00FC5016" w:rsidRDefault="00FC5016">
      <w:pPr>
        <w:pStyle w:val="ConsPlusNormal"/>
        <w:jc w:val="both"/>
      </w:pPr>
    </w:p>
    <w:p w:rsidR="00FC5016" w:rsidRDefault="00FC5016">
      <w:pPr>
        <w:pStyle w:val="ConsPlusNormal"/>
        <w:jc w:val="center"/>
      </w:pPr>
      <w:r>
        <w:t>V. Показатели долговой устойчивости бюджета муниципального</w:t>
      </w:r>
    </w:p>
    <w:p w:rsidR="00FC5016" w:rsidRDefault="00FC5016">
      <w:pPr>
        <w:pStyle w:val="ConsPlusNormal"/>
        <w:jc w:val="center"/>
      </w:pPr>
      <w:r>
        <w:t>района "Мосальский район" на долгосрочный период</w:t>
      </w:r>
    </w:p>
    <w:p w:rsidR="00FC5016" w:rsidRDefault="00FC5016">
      <w:pPr>
        <w:pStyle w:val="ConsPlusNormal"/>
        <w:jc w:val="both"/>
      </w:pPr>
    </w:p>
    <w:p w:rsidR="00FC5016" w:rsidRDefault="00FC5016">
      <w:pPr>
        <w:pStyle w:val="ConsPlusNormal"/>
        <w:jc w:val="right"/>
      </w:pPr>
      <w:r>
        <w:t>(в процентах)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4932"/>
        <w:gridCol w:w="1417"/>
        <w:gridCol w:w="1418"/>
        <w:gridCol w:w="1275"/>
      </w:tblGrid>
      <w:tr w:rsidR="00FC5016">
        <w:tc>
          <w:tcPr>
            <w:tcW w:w="4932" w:type="dxa"/>
            <w:vMerge w:val="restart"/>
          </w:tcPr>
          <w:p w:rsidR="00FC5016" w:rsidRDefault="00FC5016">
            <w:pPr>
              <w:pStyle w:val="ConsPlusNormal"/>
              <w:jc w:val="center"/>
            </w:pPr>
            <w:r>
              <w:t>Показатели</w:t>
            </w:r>
          </w:p>
        </w:tc>
        <w:tc>
          <w:tcPr>
            <w:tcW w:w="2835" w:type="dxa"/>
            <w:gridSpan w:val="2"/>
          </w:tcPr>
          <w:p w:rsidR="00FC5016" w:rsidRDefault="00FC5016">
            <w:pPr>
              <w:pStyle w:val="ConsPlusNormal"/>
              <w:jc w:val="center"/>
            </w:pPr>
            <w:r>
              <w:t>Период</w:t>
            </w:r>
          </w:p>
        </w:tc>
        <w:tc>
          <w:tcPr>
            <w:tcW w:w="1275" w:type="dxa"/>
            <w:vMerge w:val="restart"/>
          </w:tcPr>
          <w:p w:rsidR="00FC5016" w:rsidRDefault="00FC5016">
            <w:pPr>
              <w:pStyle w:val="ConsPlusNormal"/>
              <w:jc w:val="center"/>
            </w:pPr>
            <w:r>
              <w:t>Нормативные значения</w:t>
            </w:r>
          </w:p>
        </w:tc>
      </w:tr>
      <w:tr w:rsidR="00FC5016">
        <w:tc>
          <w:tcPr>
            <w:tcW w:w="4932" w:type="dxa"/>
            <w:vMerge/>
          </w:tcPr>
          <w:p w:rsidR="00FC5016" w:rsidRDefault="00FC5016"/>
        </w:tc>
        <w:tc>
          <w:tcPr>
            <w:tcW w:w="1417" w:type="dxa"/>
          </w:tcPr>
          <w:p w:rsidR="00FC5016" w:rsidRDefault="00FC5016">
            <w:pPr>
              <w:pStyle w:val="ConsPlusNormal"/>
              <w:jc w:val="center"/>
            </w:pPr>
            <w:proofErr w:type="spellStart"/>
            <w:r>
              <w:t>n</w:t>
            </w:r>
            <w:proofErr w:type="spellEnd"/>
            <w:r>
              <w:t xml:space="preserve"> 1 (по годам)</w:t>
            </w:r>
          </w:p>
        </w:tc>
        <w:tc>
          <w:tcPr>
            <w:tcW w:w="1418" w:type="dxa"/>
          </w:tcPr>
          <w:p w:rsidR="00FC5016" w:rsidRDefault="00FC5016">
            <w:pPr>
              <w:pStyle w:val="ConsPlusNormal"/>
              <w:jc w:val="center"/>
            </w:pPr>
            <w:proofErr w:type="spellStart"/>
            <w:r>
              <w:t>n</w:t>
            </w:r>
            <w:proofErr w:type="spellEnd"/>
            <w:r>
              <w:t xml:space="preserve"> 2 (по годам)</w:t>
            </w:r>
          </w:p>
        </w:tc>
        <w:tc>
          <w:tcPr>
            <w:tcW w:w="1275" w:type="dxa"/>
            <w:vMerge/>
          </w:tcPr>
          <w:p w:rsidR="00FC5016" w:rsidRDefault="00FC5016"/>
        </w:tc>
      </w:tr>
      <w:tr w:rsidR="00FC5016">
        <w:tc>
          <w:tcPr>
            <w:tcW w:w="4932" w:type="dxa"/>
          </w:tcPr>
          <w:p w:rsidR="00FC5016" w:rsidRDefault="00FC5016">
            <w:pPr>
              <w:pStyle w:val="ConsPlusNormal"/>
            </w:pPr>
            <w:r>
              <w:t>Отношение муниципального долга муниципального района "Мосальский район" к доходам бюджета муниципального района "Мосальский район" без учета безвозмездных поступлений</w:t>
            </w:r>
          </w:p>
        </w:tc>
        <w:tc>
          <w:tcPr>
            <w:tcW w:w="1417" w:type="dxa"/>
          </w:tcPr>
          <w:p w:rsidR="00FC5016" w:rsidRDefault="00FC5016">
            <w:pPr>
              <w:pStyle w:val="ConsPlusNormal"/>
            </w:pPr>
          </w:p>
        </w:tc>
        <w:tc>
          <w:tcPr>
            <w:tcW w:w="1418" w:type="dxa"/>
          </w:tcPr>
          <w:p w:rsidR="00FC5016" w:rsidRDefault="00FC5016">
            <w:pPr>
              <w:pStyle w:val="ConsPlusNormal"/>
            </w:pPr>
          </w:p>
        </w:tc>
        <w:tc>
          <w:tcPr>
            <w:tcW w:w="1275" w:type="dxa"/>
          </w:tcPr>
          <w:p w:rsidR="00FC5016" w:rsidRDefault="00FC5016">
            <w:pPr>
              <w:pStyle w:val="ConsPlusNormal"/>
              <w:jc w:val="right"/>
            </w:pPr>
            <w:r>
              <w:t>50</w:t>
            </w:r>
          </w:p>
        </w:tc>
      </w:tr>
      <w:tr w:rsidR="00FC5016">
        <w:tc>
          <w:tcPr>
            <w:tcW w:w="4932" w:type="dxa"/>
          </w:tcPr>
          <w:p w:rsidR="00FC5016" w:rsidRDefault="00FC5016">
            <w:pPr>
              <w:pStyle w:val="ConsPlusNormal"/>
            </w:pPr>
            <w:r>
              <w:t>Отношение расходов на обслуживание муниципального долга муниципального района "Мосальский район" к общему объему расходов бюджета муниципального района "Мосальский район"</w:t>
            </w:r>
          </w:p>
        </w:tc>
        <w:tc>
          <w:tcPr>
            <w:tcW w:w="1417" w:type="dxa"/>
          </w:tcPr>
          <w:p w:rsidR="00FC5016" w:rsidRDefault="00FC5016">
            <w:pPr>
              <w:pStyle w:val="ConsPlusNormal"/>
            </w:pPr>
          </w:p>
        </w:tc>
        <w:tc>
          <w:tcPr>
            <w:tcW w:w="1418" w:type="dxa"/>
          </w:tcPr>
          <w:p w:rsidR="00FC5016" w:rsidRDefault="00FC5016">
            <w:pPr>
              <w:pStyle w:val="ConsPlusNormal"/>
            </w:pPr>
          </w:p>
        </w:tc>
        <w:tc>
          <w:tcPr>
            <w:tcW w:w="1275" w:type="dxa"/>
          </w:tcPr>
          <w:p w:rsidR="00FC5016" w:rsidRDefault="00FC5016">
            <w:pPr>
              <w:pStyle w:val="ConsPlusNormal"/>
              <w:jc w:val="right"/>
            </w:pPr>
            <w:r>
              <w:t>5</w:t>
            </w:r>
          </w:p>
        </w:tc>
      </w:tr>
      <w:tr w:rsidR="00FC5016">
        <w:tc>
          <w:tcPr>
            <w:tcW w:w="4932" w:type="dxa"/>
          </w:tcPr>
          <w:p w:rsidR="00FC5016" w:rsidRDefault="00FC5016">
            <w:pPr>
              <w:pStyle w:val="ConsPlusNormal"/>
            </w:pPr>
            <w:r>
              <w:t xml:space="preserve">Отношение расходов на обслуживание муниципального долга муниципального района "Мосальский район" к доходам бюджета муниципального района "Мосальский район" без </w:t>
            </w:r>
            <w:r>
              <w:lastRenderedPageBreak/>
              <w:t>учета безвозмездных поступлений</w:t>
            </w:r>
          </w:p>
        </w:tc>
        <w:tc>
          <w:tcPr>
            <w:tcW w:w="1417" w:type="dxa"/>
          </w:tcPr>
          <w:p w:rsidR="00FC5016" w:rsidRDefault="00FC5016">
            <w:pPr>
              <w:pStyle w:val="ConsPlusNormal"/>
            </w:pPr>
          </w:p>
        </w:tc>
        <w:tc>
          <w:tcPr>
            <w:tcW w:w="1418" w:type="dxa"/>
          </w:tcPr>
          <w:p w:rsidR="00FC5016" w:rsidRDefault="00FC5016">
            <w:pPr>
              <w:pStyle w:val="ConsPlusNormal"/>
            </w:pPr>
          </w:p>
        </w:tc>
        <w:tc>
          <w:tcPr>
            <w:tcW w:w="1275" w:type="dxa"/>
          </w:tcPr>
          <w:p w:rsidR="00FC5016" w:rsidRDefault="00FC5016">
            <w:pPr>
              <w:pStyle w:val="ConsPlusNormal"/>
              <w:jc w:val="right"/>
            </w:pPr>
            <w:r>
              <w:t>10</w:t>
            </w:r>
          </w:p>
        </w:tc>
      </w:tr>
      <w:tr w:rsidR="00FC5016">
        <w:tc>
          <w:tcPr>
            <w:tcW w:w="4932" w:type="dxa"/>
          </w:tcPr>
          <w:p w:rsidR="00FC5016" w:rsidRDefault="00FC5016">
            <w:pPr>
              <w:pStyle w:val="ConsPlusNormal"/>
            </w:pPr>
            <w:r>
              <w:lastRenderedPageBreak/>
              <w:t>Отношение просроченных долговых обязательств к общему объему муниципального долга муниципального района "Мосальский район"</w:t>
            </w:r>
          </w:p>
        </w:tc>
        <w:tc>
          <w:tcPr>
            <w:tcW w:w="1417" w:type="dxa"/>
          </w:tcPr>
          <w:p w:rsidR="00FC5016" w:rsidRDefault="00FC5016">
            <w:pPr>
              <w:pStyle w:val="ConsPlusNormal"/>
            </w:pPr>
          </w:p>
        </w:tc>
        <w:tc>
          <w:tcPr>
            <w:tcW w:w="1418" w:type="dxa"/>
          </w:tcPr>
          <w:p w:rsidR="00FC5016" w:rsidRDefault="00FC5016">
            <w:pPr>
              <w:pStyle w:val="ConsPlusNormal"/>
            </w:pPr>
          </w:p>
        </w:tc>
        <w:tc>
          <w:tcPr>
            <w:tcW w:w="1275" w:type="dxa"/>
          </w:tcPr>
          <w:p w:rsidR="00FC5016" w:rsidRDefault="00FC5016">
            <w:pPr>
              <w:pStyle w:val="ConsPlusNormal"/>
              <w:jc w:val="right"/>
            </w:pPr>
            <w:r>
              <w:t>0</w:t>
            </w:r>
          </w:p>
        </w:tc>
      </w:tr>
      <w:tr w:rsidR="00FC5016">
        <w:tc>
          <w:tcPr>
            <w:tcW w:w="4932" w:type="dxa"/>
          </w:tcPr>
          <w:p w:rsidR="00FC5016" w:rsidRDefault="00FC5016">
            <w:pPr>
              <w:pStyle w:val="ConsPlusNormal"/>
            </w:pPr>
            <w:r>
              <w:t>Отношение дефицита бюджета муниципального района "Мосальский район" к доходам бюджета муниципального района "Мосальский район" без безвозмездных поступлений</w:t>
            </w:r>
          </w:p>
        </w:tc>
        <w:tc>
          <w:tcPr>
            <w:tcW w:w="1417" w:type="dxa"/>
          </w:tcPr>
          <w:p w:rsidR="00FC5016" w:rsidRDefault="00FC5016">
            <w:pPr>
              <w:pStyle w:val="ConsPlusNormal"/>
            </w:pPr>
          </w:p>
        </w:tc>
        <w:tc>
          <w:tcPr>
            <w:tcW w:w="1418" w:type="dxa"/>
          </w:tcPr>
          <w:p w:rsidR="00FC5016" w:rsidRDefault="00FC5016">
            <w:pPr>
              <w:pStyle w:val="ConsPlusNormal"/>
            </w:pPr>
          </w:p>
        </w:tc>
        <w:tc>
          <w:tcPr>
            <w:tcW w:w="1275" w:type="dxa"/>
          </w:tcPr>
          <w:p w:rsidR="00FC5016" w:rsidRDefault="00FC5016">
            <w:pPr>
              <w:pStyle w:val="ConsPlusNormal"/>
              <w:jc w:val="right"/>
            </w:pPr>
            <w:r>
              <w:t>10</w:t>
            </w:r>
          </w:p>
        </w:tc>
      </w:tr>
      <w:tr w:rsidR="00FC5016">
        <w:tc>
          <w:tcPr>
            <w:tcW w:w="4932" w:type="dxa"/>
          </w:tcPr>
          <w:p w:rsidR="00FC5016" w:rsidRDefault="00FC5016">
            <w:pPr>
              <w:pStyle w:val="ConsPlusNormal"/>
            </w:pPr>
            <w:r>
              <w:t>Доля гарантий в общем объеме муниципального долга муниципального района "Мосальский район"</w:t>
            </w:r>
          </w:p>
        </w:tc>
        <w:tc>
          <w:tcPr>
            <w:tcW w:w="1417" w:type="dxa"/>
          </w:tcPr>
          <w:p w:rsidR="00FC5016" w:rsidRDefault="00FC5016">
            <w:pPr>
              <w:pStyle w:val="ConsPlusNormal"/>
            </w:pPr>
          </w:p>
        </w:tc>
        <w:tc>
          <w:tcPr>
            <w:tcW w:w="1418" w:type="dxa"/>
          </w:tcPr>
          <w:p w:rsidR="00FC5016" w:rsidRDefault="00FC5016">
            <w:pPr>
              <w:pStyle w:val="ConsPlusNormal"/>
            </w:pPr>
          </w:p>
        </w:tc>
        <w:tc>
          <w:tcPr>
            <w:tcW w:w="1275" w:type="dxa"/>
          </w:tcPr>
          <w:p w:rsidR="00FC5016" w:rsidRDefault="00FC5016">
            <w:pPr>
              <w:pStyle w:val="ConsPlusNormal"/>
              <w:jc w:val="right"/>
            </w:pPr>
            <w:r>
              <w:t>30</w:t>
            </w:r>
          </w:p>
        </w:tc>
      </w:tr>
    </w:tbl>
    <w:p w:rsidR="00FC5016" w:rsidRDefault="00FC5016">
      <w:pPr>
        <w:pStyle w:val="ConsPlusNormal"/>
        <w:jc w:val="both"/>
      </w:pPr>
    </w:p>
    <w:p w:rsidR="00FC5016" w:rsidRDefault="00FC5016">
      <w:pPr>
        <w:pStyle w:val="ConsPlusNormal"/>
        <w:jc w:val="center"/>
      </w:pPr>
      <w:r>
        <w:t>VI. Показатели финансового обеспечения муниципальных</w:t>
      </w:r>
    </w:p>
    <w:p w:rsidR="00FC5016" w:rsidRDefault="00FC5016">
      <w:pPr>
        <w:pStyle w:val="ConsPlusNormal"/>
        <w:jc w:val="center"/>
      </w:pPr>
      <w:r>
        <w:t>программ муниципального района "Мосальский район"</w:t>
      </w:r>
    </w:p>
    <w:p w:rsidR="00FC5016" w:rsidRDefault="00FC5016">
      <w:pPr>
        <w:pStyle w:val="ConsPlusNormal"/>
        <w:jc w:val="center"/>
      </w:pPr>
      <w:r>
        <w:t>на долгосрочный период</w:t>
      </w:r>
    </w:p>
    <w:p w:rsidR="00FC5016" w:rsidRDefault="00FC5016">
      <w:pPr>
        <w:pStyle w:val="ConsPlusNormal"/>
        <w:jc w:val="both"/>
      </w:pPr>
    </w:p>
    <w:p w:rsidR="00FC5016" w:rsidRDefault="00FC5016">
      <w:pPr>
        <w:pStyle w:val="ConsPlusNormal"/>
        <w:jc w:val="right"/>
      </w:pPr>
      <w:r>
        <w:t>(</w:t>
      </w:r>
      <w:proofErr w:type="spellStart"/>
      <w:r>
        <w:t>млн</w:t>
      </w:r>
      <w:proofErr w:type="spellEnd"/>
      <w:r>
        <w:t xml:space="preserve"> рублей)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6236"/>
        <w:gridCol w:w="1418"/>
        <w:gridCol w:w="1275"/>
      </w:tblGrid>
      <w:tr w:rsidR="00FC5016">
        <w:tc>
          <w:tcPr>
            <w:tcW w:w="6236" w:type="dxa"/>
            <w:vMerge w:val="restart"/>
          </w:tcPr>
          <w:p w:rsidR="00FC5016" w:rsidRDefault="00FC5016">
            <w:pPr>
              <w:pStyle w:val="ConsPlusNormal"/>
              <w:jc w:val="center"/>
            </w:pPr>
            <w:r>
              <w:t>Наименование</w:t>
            </w:r>
          </w:p>
        </w:tc>
        <w:tc>
          <w:tcPr>
            <w:tcW w:w="2693" w:type="dxa"/>
            <w:gridSpan w:val="2"/>
          </w:tcPr>
          <w:p w:rsidR="00FC5016" w:rsidRDefault="00FC5016">
            <w:pPr>
              <w:pStyle w:val="ConsPlusNormal"/>
              <w:jc w:val="center"/>
            </w:pPr>
            <w:r>
              <w:t>Период</w:t>
            </w:r>
          </w:p>
        </w:tc>
      </w:tr>
      <w:tr w:rsidR="00FC5016">
        <w:tc>
          <w:tcPr>
            <w:tcW w:w="6236" w:type="dxa"/>
            <w:vMerge/>
          </w:tcPr>
          <w:p w:rsidR="00FC5016" w:rsidRDefault="00FC5016"/>
        </w:tc>
        <w:tc>
          <w:tcPr>
            <w:tcW w:w="1418" w:type="dxa"/>
          </w:tcPr>
          <w:p w:rsidR="00FC5016" w:rsidRDefault="00FC5016">
            <w:pPr>
              <w:pStyle w:val="ConsPlusNormal"/>
              <w:jc w:val="center"/>
            </w:pPr>
            <w:proofErr w:type="spellStart"/>
            <w:r>
              <w:t>n</w:t>
            </w:r>
            <w:proofErr w:type="spellEnd"/>
            <w:r>
              <w:t xml:space="preserve"> 1 (по годам)</w:t>
            </w:r>
          </w:p>
        </w:tc>
        <w:tc>
          <w:tcPr>
            <w:tcW w:w="1275" w:type="dxa"/>
          </w:tcPr>
          <w:p w:rsidR="00FC5016" w:rsidRDefault="00FC5016">
            <w:pPr>
              <w:pStyle w:val="ConsPlusNormal"/>
              <w:jc w:val="center"/>
            </w:pPr>
            <w:proofErr w:type="spellStart"/>
            <w:r>
              <w:t>n</w:t>
            </w:r>
            <w:proofErr w:type="spellEnd"/>
            <w:r>
              <w:t xml:space="preserve"> 2 (по годам)</w:t>
            </w:r>
          </w:p>
        </w:tc>
      </w:tr>
      <w:tr w:rsidR="00FC5016">
        <w:tc>
          <w:tcPr>
            <w:tcW w:w="6236" w:type="dxa"/>
          </w:tcPr>
          <w:p w:rsidR="00FC5016" w:rsidRDefault="00FC5016">
            <w:pPr>
              <w:pStyle w:val="ConsPlusNormal"/>
            </w:pPr>
            <w:r>
              <w:t>Финансовое обеспечение муниципальных программ муниципального района "Мосальский район" - всего</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t>В том числе по программам:</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t>программа 1</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t>программа 2</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t>программа 3</w:t>
            </w:r>
          </w:p>
        </w:tc>
        <w:tc>
          <w:tcPr>
            <w:tcW w:w="1418" w:type="dxa"/>
          </w:tcPr>
          <w:p w:rsidR="00FC5016" w:rsidRDefault="00FC5016">
            <w:pPr>
              <w:pStyle w:val="ConsPlusNormal"/>
            </w:pPr>
          </w:p>
        </w:tc>
        <w:tc>
          <w:tcPr>
            <w:tcW w:w="1275" w:type="dxa"/>
          </w:tcPr>
          <w:p w:rsidR="00FC5016" w:rsidRDefault="00FC5016">
            <w:pPr>
              <w:pStyle w:val="ConsPlusNormal"/>
            </w:pPr>
          </w:p>
        </w:tc>
      </w:tr>
      <w:tr w:rsidR="00FC5016">
        <w:tc>
          <w:tcPr>
            <w:tcW w:w="6236" w:type="dxa"/>
          </w:tcPr>
          <w:p w:rsidR="00FC5016" w:rsidRDefault="00FC5016">
            <w:pPr>
              <w:pStyle w:val="ConsPlusNormal"/>
            </w:pPr>
            <w:r>
              <w:t>программа...</w:t>
            </w:r>
          </w:p>
        </w:tc>
        <w:tc>
          <w:tcPr>
            <w:tcW w:w="1418" w:type="dxa"/>
          </w:tcPr>
          <w:p w:rsidR="00FC5016" w:rsidRDefault="00FC5016">
            <w:pPr>
              <w:pStyle w:val="ConsPlusNormal"/>
            </w:pPr>
          </w:p>
        </w:tc>
        <w:tc>
          <w:tcPr>
            <w:tcW w:w="1275" w:type="dxa"/>
          </w:tcPr>
          <w:p w:rsidR="00FC5016" w:rsidRDefault="00FC5016">
            <w:pPr>
              <w:pStyle w:val="ConsPlusNormal"/>
            </w:pPr>
          </w:p>
        </w:tc>
      </w:tr>
    </w:tbl>
    <w:p w:rsidR="00FC5016" w:rsidRDefault="00FC5016">
      <w:pPr>
        <w:pStyle w:val="ConsPlusNormal"/>
        <w:jc w:val="both"/>
      </w:pPr>
    </w:p>
    <w:p w:rsidR="00FC5016" w:rsidRDefault="00FC5016">
      <w:pPr>
        <w:pStyle w:val="ConsPlusNormal"/>
        <w:jc w:val="both"/>
      </w:pPr>
    </w:p>
    <w:p w:rsidR="00FC5016" w:rsidRDefault="00FC5016">
      <w:pPr>
        <w:pStyle w:val="ConsPlusNormal"/>
        <w:pBdr>
          <w:top w:val="single" w:sz="6" w:space="0" w:color="auto"/>
        </w:pBdr>
        <w:spacing w:before="100" w:after="100"/>
        <w:jc w:val="both"/>
        <w:rPr>
          <w:sz w:val="2"/>
          <w:szCs w:val="2"/>
        </w:rPr>
      </w:pPr>
    </w:p>
    <w:p w:rsidR="00563E7C" w:rsidRDefault="00563E7C"/>
    <w:sectPr w:rsidR="00563E7C" w:rsidSect="0079542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characterSpacingControl w:val="doNotCompress"/>
  <w:compat/>
  <w:rsids>
    <w:rsidRoot w:val="00FC5016"/>
    <w:rsid w:val="00512476"/>
    <w:rsid w:val="00563E7C"/>
    <w:rsid w:val="00CD4953"/>
    <w:rsid w:val="00FC501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3E7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FC5016"/>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FC5016"/>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FC5016"/>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consultantplus://offline/ref=5904938EEEAB269F0A3811343BA8E6118EE1B4B79837594EDD99239F9BC906DEM6o2H" TargetMode="External"/><Relationship Id="rId4" Type="http://schemas.openxmlformats.org/officeDocument/2006/relationships/hyperlink" Target="consultantplus://offline/ref=5904938EEEAB269F0A380F392DC4B81F88E3EEBA933D501C89C678C2CCC00C8925D6D96BC894MDo1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1125</Words>
  <Characters>6418</Characters>
  <Application>Microsoft Office Word</Application>
  <DocSecurity>0</DocSecurity>
  <Lines>53</Lines>
  <Paragraphs>15</Paragraphs>
  <ScaleCrop>false</ScaleCrop>
  <Company>RePack by SPecialiST</Company>
  <LinksUpToDate>false</LinksUpToDate>
  <CharactersWithSpaces>7528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2016-05-04T07:40:00Z</dcterms:created>
  <dcterms:modified xsi:type="dcterms:W3CDTF">2016-05-04T07:42:00Z</dcterms:modified>
</cp:coreProperties>
</file>