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E029" w14:textId="77777777" w:rsidR="00BE6CAF" w:rsidRPr="00D256D6" w:rsidRDefault="00D256D6">
      <w:pPr>
        <w:rPr>
          <w:b/>
        </w:rPr>
      </w:pPr>
      <w:r w:rsidRPr="00D256D6">
        <w:rPr>
          <w:b/>
        </w:rPr>
        <w:t>Características</w:t>
      </w:r>
      <w:r w:rsidR="00BE6CAF" w:rsidRPr="00D256D6">
        <w:rPr>
          <w:b/>
        </w:rPr>
        <w:t xml:space="preserve"> de la Base:</w:t>
      </w:r>
    </w:p>
    <w:p w14:paraId="7B97E02A" w14:textId="77777777" w:rsidR="00430EBB" w:rsidRDefault="00BE6CAF">
      <w:r w:rsidRPr="00BE6CAF">
        <w:t>Grupo de 12.300 clientes de los cuales 214 han disminuido en al menos  en un 10% su Buró entre los meses de diciembre 2020 a febrero 2021.</w:t>
      </w:r>
    </w:p>
    <w:p w14:paraId="7B97E02B" w14:textId="77777777" w:rsidR="00BE6CAF" w:rsidRPr="00D256D6" w:rsidRDefault="00BE6CAF">
      <w:pPr>
        <w:rPr>
          <w:b/>
        </w:rPr>
      </w:pPr>
    </w:p>
    <w:p w14:paraId="7B97E02C" w14:textId="77777777" w:rsidR="00BE6CAF" w:rsidRPr="00D256D6" w:rsidRDefault="00BE6CAF">
      <w:pPr>
        <w:rPr>
          <w:b/>
        </w:rPr>
      </w:pPr>
      <w:r w:rsidRPr="00D256D6">
        <w:rPr>
          <w:b/>
        </w:rPr>
        <w:t>Requerimiento:</w:t>
      </w:r>
    </w:p>
    <w:p w14:paraId="7B97E02D" w14:textId="77777777" w:rsidR="00BE6CAF" w:rsidRDefault="00BE6CAF">
      <w:r w:rsidRPr="00BE6CAF">
        <w:t>Identificar los clientes que han disminuido su Buró entre Dic-20 y Feb-21, analizar el perfil de estos clientes de acuerdo a las variables de la BBDD y entregar un informe que permita al usuario conocer los grupos de clientes con mayor impacto.</w:t>
      </w:r>
    </w:p>
    <w:p w14:paraId="7B97E02E" w14:textId="77777777" w:rsidR="00D256D6" w:rsidRPr="00D256D6" w:rsidRDefault="00D256D6">
      <w:pPr>
        <w:rPr>
          <w:b/>
        </w:rPr>
      </w:pPr>
    </w:p>
    <w:p w14:paraId="7B97E02F" w14:textId="7AAEC6A0" w:rsidR="00D256D6" w:rsidRDefault="00D256D6">
      <w:pPr>
        <w:rPr>
          <w:b/>
        </w:rPr>
      </w:pPr>
      <w:r w:rsidRPr="00D256D6">
        <w:rPr>
          <w:b/>
        </w:rPr>
        <w:t xml:space="preserve">Respuesta: </w:t>
      </w:r>
    </w:p>
    <w:p w14:paraId="1E06D440" w14:textId="1681F573" w:rsidR="00F1163B" w:rsidRDefault="006F12DC">
      <w:pPr>
        <w:rPr>
          <w:bCs/>
          <w:lang w:val="es-419"/>
        </w:rPr>
      </w:pPr>
      <w:r w:rsidRPr="006F12DC">
        <w:rPr>
          <w:bCs/>
          <w:lang w:val="es-419"/>
        </w:rPr>
        <w:t xml:space="preserve">Los clientes </w:t>
      </w:r>
      <w:r w:rsidR="004E2578">
        <w:rPr>
          <w:bCs/>
          <w:lang w:val="es-419"/>
        </w:rPr>
        <w:t xml:space="preserve">cuyo Buró disminuyó al menos en 10% entre Dic/20 y Feb/20 se encuentran en el archivo adjunto </w:t>
      </w:r>
      <w:r w:rsidR="0037211E">
        <w:rPr>
          <w:bCs/>
          <w:lang w:val="es-419"/>
        </w:rPr>
        <w:t>“</w:t>
      </w:r>
      <w:r w:rsidR="0037211E" w:rsidRPr="0037211E">
        <w:rPr>
          <w:bCs/>
          <w:lang w:val="es-419"/>
        </w:rPr>
        <w:t>clientes_bajo_buro</w:t>
      </w:r>
      <w:r w:rsidR="0037211E">
        <w:rPr>
          <w:bCs/>
          <w:lang w:val="es-419"/>
        </w:rPr>
        <w:t>.csv”</w:t>
      </w:r>
    </w:p>
    <w:p w14:paraId="7A6E158B" w14:textId="74B88BA6" w:rsidR="0037211E" w:rsidRDefault="0037211E">
      <w:pPr>
        <w:rPr>
          <w:bCs/>
          <w:lang w:val="es-419"/>
        </w:rPr>
      </w:pPr>
    </w:p>
    <w:p w14:paraId="66D25697" w14:textId="401EC36D" w:rsidR="00275A09" w:rsidRDefault="00164563" w:rsidP="00C117A0">
      <w:pPr>
        <w:jc w:val="both"/>
        <w:rPr>
          <w:bCs/>
          <w:lang w:val="es-419"/>
        </w:rPr>
      </w:pPr>
      <w:r>
        <w:rPr>
          <w:bCs/>
          <w:lang w:val="es-419"/>
        </w:rPr>
        <w:t>Las personas se dividieron en las dos categorías (con y sin baja en el Buró), con lo que se inicia identifica</w:t>
      </w:r>
      <w:r w:rsidR="00573C75">
        <w:rPr>
          <w:bCs/>
          <w:lang w:val="es-419"/>
        </w:rPr>
        <w:t xml:space="preserve">ndo diferencias características entre las dos poblaciones, con el fin de no llegar a </w:t>
      </w:r>
      <w:r w:rsidR="00C117A0">
        <w:rPr>
          <w:bCs/>
          <w:lang w:val="es-419"/>
        </w:rPr>
        <w:t>conclusiones que sean comunes en ambas categorías</w:t>
      </w:r>
      <w:r w:rsidR="00596AA0">
        <w:rPr>
          <w:bCs/>
          <w:lang w:val="es-419"/>
        </w:rPr>
        <w:t>.</w:t>
      </w:r>
    </w:p>
    <w:p w14:paraId="773BF5CD" w14:textId="5251A512" w:rsidR="00596AA0" w:rsidRDefault="00596AA0" w:rsidP="00C117A0">
      <w:pPr>
        <w:jc w:val="both"/>
        <w:rPr>
          <w:bCs/>
          <w:lang w:val="es-419"/>
        </w:rPr>
      </w:pPr>
    </w:p>
    <w:p w14:paraId="29835BB7" w14:textId="16E7E98B" w:rsidR="009D41D8" w:rsidRDefault="00596AA0" w:rsidP="00C117A0">
      <w:pPr>
        <w:jc w:val="both"/>
        <w:rPr>
          <w:bCs/>
          <w:lang w:val="es-419"/>
        </w:rPr>
      </w:pPr>
      <w:r>
        <w:rPr>
          <w:bCs/>
          <w:lang w:val="es-419"/>
        </w:rPr>
        <w:t xml:space="preserve">Se inicia con </w:t>
      </w:r>
      <w:r w:rsidR="00B4407B">
        <w:rPr>
          <w:bCs/>
          <w:lang w:val="es-419"/>
        </w:rPr>
        <w:t xml:space="preserve">variables simples como sexo y edad, la figura 1 muestra la comparación de histogramas </w:t>
      </w:r>
      <w:r w:rsidR="009D41D8">
        <w:rPr>
          <w:bCs/>
          <w:lang w:val="es-419"/>
        </w:rPr>
        <w:t>de edad en las dos poblaciones de interés</w:t>
      </w:r>
    </w:p>
    <w:p w14:paraId="18C07109" w14:textId="56EEB8C7" w:rsidR="009D41D8" w:rsidRDefault="002758CA" w:rsidP="00C117A0">
      <w:pPr>
        <w:jc w:val="both"/>
        <w:rPr>
          <w:bCs/>
          <w:lang w:val="es-419"/>
        </w:rPr>
      </w:pPr>
      <w:r>
        <w:rPr>
          <w:bCs/>
          <w:noProof/>
          <w:lang w:val="es-419"/>
        </w:rPr>
        <w:drawing>
          <wp:inline distT="0" distB="0" distL="0" distR="0" wp14:anchorId="2993556B" wp14:editId="037FE7E3">
            <wp:extent cx="5612130" cy="2980055"/>
            <wp:effectExtent l="0" t="0" r="7620" b="0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4ABA" w14:textId="45962E42" w:rsidR="009D41D8" w:rsidRDefault="009D41D8" w:rsidP="009D41D8">
      <w:pPr>
        <w:pStyle w:val="Descripcin"/>
        <w:jc w:val="center"/>
      </w:pPr>
      <w:r>
        <w:t xml:space="preserve">Figura </w:t>
      </w:r>
      <w:fldSimple w:instr=" SEQ Figura \* ARABIC ">
        <w:r w:rsidR="003D3DD0">
          <w:rPr>
            <w:noProof/>
          </w:rPr>
          <w:t>1</w:t>
        </w:r>
      </w:fldSimple>
      <w:r>
        <w:t>. Histograma de distribución de edades</w:t>
      </w:r>
    </w:p>
    <w:p w14:paraId="093D208D" w14:textId="3CDF10BA" w:rsidR="009D41D8" w:rsidRDefault="009D41D8" w:rsidP="009D41D8">
      <w:pPr>
        <w:rPr>
          <w:lang w:val="es-419"/>
        </w:rPr>
      </w:pPr>
    </w:p>
    <w:p w14:paraId="726AEA48" w14:textId="70FE28DF" w:rsidR="006764D1" w:rsidRDefault="002758CA" w:rsidP="009D41D8">
      <w:pPr>
        <w:rPr>
          <w:lang w:val="es-419"/>
        </w:rPr>
      </w:pPr>
      <w:r>
        <w:rPr>
          <w:lang w:val="es-419"/>
        </w:rPr>
        <w:lastRenderedPageBreak/>
        <w:t>Se aprecia que las dos distribuciones son muy similares, de modo que la edad no es un</w:t>
      </w:r>
      <w:r w:rsidR="000B4C60">
        <w:rPr>
          <w:lang w:val="es-419"/>
        </w:rPr>
        <w:t>a característica relevante en la determinación de baja en el Buró.</w:t>
      </w:r>
    </w:p>
    <w:p w14:paraId="6172F563" w14:textId="123CB2E8" w:rsidR="00531497" w:rsidRDefault="00531497" w:rsidP="009D41D8">
      <w:pPr>
        <w:rPr>
          <w:lang w:val="es-419"/>
        </w:rPr>
      </w:pPr>
    </w:p>
    <w:p w14:paraId="3DA81CE3" w14:textId="2B1B1C1E" w:rsidR="00531497" w:rsidRDefault="00531497" w:rsidP="00E5360B">
      <w:pPr>
        <w:jc w:val="both"/>
        <w:rPr>
          <w:lang w:val="es-419"/>
        </w:rPr>
      </w:pPr>
      <w:r>
        <w:rPr>
          <w:lang w:val="es-419"/>
        </w:rPr>
        <w:t xml:space="preserve">En cuanto a la distribución según sexo, la figura 2 muestra que la proporción de hombres y mujeres con y sin baja en el </w:t>
      </w:r>
      <w:r w:rsidR="00E5360B">
        <w:rPr>
          <w:lang w:val="es-419"/>
        </w:rPr>
        <w:t>Buró es ligeramente mayor en el caos de hombres con baja en Buró, lo que indica que estos son ligeramente más propensos</w:t>
      </w:r>
      <w:r w:rsidR="00E04064">
        <w:rPr>
          <w:lang w:val="es-419"/>
        </w:rPr>
        <w:t xml:space="preserve"> a la </w:t>
      </w:r>
      <w:r w:rsidR="00F670E6">
        <w:rPr>
          <w:lang w:val="es-419"/>
        </w:rPr>
        <w:t>baja.</w:t>
      </w:r>
    </w:p>
    <w:p w14:paraId="4A1287CF" w14:textId="49420D8C" w:rsidR="00F670E6" w:rsidRDefault="00F670E6" w:rsidP="00E5360B">
      <w:pPr>
        <w:jc w:val="both"/>
        <w:rPr>
          <w:lang w:val="es-419"/>
        </w:rPr>
      </w:pPr>
    </w:p>
    <w:p w14:paraId="060E9BDD" w14:textId="77777777" w:rsidR="00AA5713" w:rsidRDefault="00AA5713" w:rsidP="00E5360B">
      <w:pPr>
        <w:jc w:val="both"/>
        <w:rPr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4"/>
      </w:tblGrid>
      <w:tr w:rsidR="00F670E6" w14:paraId="62E0A29C" w14:textId="77777777" w:rsidTr="00F670E6">
        <w:tc>
          <w:tcPr>
            <w:tcW w:w="4414" w:type="dxa"/>
          </w:tcPr>
          <w:p w14:paraId="04AC649D" w14:textId="653C9862" w:rsidR="00F670E6" w:rsidRDefault="00F670E6" w:rsidP="00E5360B">
            <w:pPr>
              <w:jc w:val="both"/>
              <w:rPr>
                <w:lang w:val="es-419"/>
              </w:rPr>
            </w:pPr>
            <w:r>
              <w:rPr>
                <w:noProof/>
                <w:lang w:val="es-419"/>
              </w:rPr>
              <w:drawing>
                <wp:inline distT="0" distB="0" distL="0" distR="0" wp14:anchorId="7BC62575" wp14:editId="6F9BD21B">
                  <wp:extent cx="2667000" cy="145601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589" cy="147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49C7FD3" w14:textId="62D98E05" w:rsidR="00F670E6" w:rsidRDefault="00F670E6" w:rsidP="00E5360B">
            <w:pPr>
              <w:jc w:val="both"/>
              <w:rPr>
                <w:lang w:val="es-419"/>
              </w:rPr>
            </w:pPr>
            <w:r>
              <w:rPr>
                <w:noProof/>
                <w:lang w:val="es-419"/>
              </w:rPr>
              <w:drawing>
                <wp:inline distT="0" distB="0" distL="0" distR="0" wp14:anchorId="51FB3485" wp14:editId="1F237976">
                  <wp:extent cx="2655570" cy="147050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83" cy="148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9D433" w14:textId="1FB609FC" w:rsidR="00AA5713" w:rsidRDefault="00F670E6" w:rsidP="000929DD">
      <w:pPr>
        <w:pStyle w:val="Descripcin"/>
        <w:jc w:val="center"/>
      </w:pPr>
      <w:r>
        <w:t xml:space="preserve">Figura </w:t>
      </w:r>
      <w:fldSimple w:instr=" SEQ Figura \* ARABIC ">
        <w:r w:rsidR="003D3DD0">
          <w:rPr>
            <w:noProof/>
          </w:rPr>
          <w:t>2</w:t>
        </w:r>
      </w:fldSimple>
      <w:r>
        <w:t>. Proporción de hombres y mujeres por baja en Buró</w:t>
      </w:r>
    </w:p>
    <w:p w14:paraId="36753369" w14:textId="77777777" w:rsidR="00AA5713" w:rsidRDefault="00AA5713" w:rsidP="00F670E6"/>
    <w:p w14:paraId="04BC6BCE" w14:textId="77777777" w:rsidR="00D8249D" w:rsidRDefault="00F33AEF" w:rsidP="00AF779D">
      <w:pPr>
        <w:jc w:val="both"/>
      </w:pPr>
      <w:r>
        <w:t xml:space="preserve">A continuación, se compara la proporción de colectivos primarios </w:t>
      </w:r>
      <w:r w:rsidR="00B47106">
        <w:t>en cada</w:t>
      </w:r>
      <w:r w:rsidR="00275697">
        <w:t xml:space="preserve"> población de interés</w:t>
      </w:r>
      <w:r w:rsidR="00E06687">
        <w:t xml:space="preserve">, en la figura 3 se muestra el comparativo de los conteos para cada </w:t>
      </w:r>
      <w:r w:rsidR="0054723F">
        <w:t>colectivo según si reportó o no baja en el Buró.</w:t>
      </w:r>
      <w:r w:rsidR="000929DD">
        <w:t xml:space="preserve"> En este caso se aprecia </w:t>
      </w:r>
      <w:r w:rsidR="0094544C">
        <w:t xml:space="preserve">que existe </w:t>
      </w:r>
      <w:r w:rsidR="000929DD">
        <w:t xml:space="preserve">una marcada </w:t>
      </w:r>
      <w:r w:rsidR="00AF779D">
        <w:t xml:space="preserve">concentración de personas </w:t>
      </w:r>
      <w:r w:rsidR="0094544C">
        <w:t xml:space="preserve">independientes </w:t>
      </w:r>
      <w:r w:rsidR="002C6326">
        <w:t>en quienes el buró se redujo entre Dic/2020 y Feb/2021</w:t>
      </w:r>
      <w:r w:rsidR="00024919">
        <w:t xml:space="preserve">. </w:t>
      </w:r>
    </w:p>
    <w:p w14:paraId="1C311D16" w14:textId="77777777" w:rsidR="00D8249D" w:rsidRDefault="00D8249D" w:rsidP="00AF779D">
      <w:pPr>
        <w:jc w:val="both"/>
      </w:pPr>
    </w:p>
    <w:p w14:paraId="6E5956F2" w14:textId="12B9B732" w:rsidR="00AA5713" w:rsidRDefault="00B07D33" w:rsidP="00F51EC2">
      <w:pPr>
        <w:jc w:val="both"/>
      </w:pPr>
      <w:r>
        <w:t xml:space="preserve">La tabla 1 relaciona el porcentaje de personas en cada colectivo </w:t>
      </w:r>
      <w:r w:rsidR="009D03FA">
        <w:t>que conforman el total de la población segmentada por la baja en el Buró.</w:t>
      </w:r>
      <w:r w:rsidR="00814210">
        <w:t xml:space="preserve"> Nótese que la suma de cada fila es igual a 100%</w:t>
      </w:r>
    </w:p>
    <w:p w14:paraId="79B5C4C3" w14:textId="77777777" w:rsidR="00F51EC2" w:rsidRDefault="00F51EC2" w:rsidP="00F51EC2">
      <w:pPr>
        <w:jc w:val="both"/>
      </w:pPr>
    </w:p>
    <w:p w14:paraId="7E07C32F" w14:textId="56C5605E" w:rsidR="00672739" w:rsidRDefault="00672739" w:rsidP="00672739">
      <w:pPr>
        <w:jc w:val="both"/>
      </w:pPr>
      <w:r>
        <w:t>La siguiente fórmula muestra la forma de calcular la celda correspondiente a la celda de porcentaje de personas con baja en Buró y que son independientes. Un procedimiento análogo se sigue en los demás casos.</w:t>
      </w:r>
    </w:p>
    <w:p w14:paraId="0679E0FE" w14:textId="26D604E1" w:rsidR="00954820" w:rsidRDefault="00954820" w:rsidP="00F670E6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Con baja </m:t>
                  </m:r>
                  <m:r>
                    <m:t>&amp;</m:t>
                  </m:r>
                  <m:r>
                    <w:rPr>
                      <w:rFonts w:ascii="Cambria Math" w:hAnsi="Cambria Math"/>
                    </w:rPr>
                    <m:t xml:space="preserve"> gremio Independientes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Personas(gremio independientes)</m:t>
              </m:r>
            </m:den>
          </m:f>
        </m:oMath>
      </m:oMathPara>
    </w:p>
    <w:p w14:paraId="257EA394" w14:textId="06561FED" w:rsidR="009D03FA" w:rsidRDefault="009D03FA" w:rsidP="00F670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2"/>
        <w:gridCol w:w="1645"/>
        <w:gridCol w:w="1177"/>
        <w:gridCol w:w="1202"/>
        <w:gridCol w:w="1373"/>
        <w:gridCol w:w="1191"/>
        <w:gridCol w:w="1178"/>
      </w:tblGrid>
      <w:tr w:rsidR="00A73596" w14:paraId="5C4B12E8" w14:textId="77777777" w:rsidTr="00A73596">
        <w:tc>
          <w:tcPr>
            <w:tcW w:w="1261" w:type="dxa"/>
            <w:shd w:val="clear" w:color="auto" w:fill="DEEAF6" w:themeFill="accent1" w:themeFillTint="33"/>
          </w:tcPr>
          <w:p w14:paraId="4CA982D0" w14:textId="77777777" w:rsidR="009D03FA" w:rsidRDefault="009D03FA" w:rsidP="00F670E6"/>
        </w:tc>
        <w:tc>
          <w:tcPr>
            <w:tcW w:w="1261" w:type="dxa"/>
            <w:shd w:val="clear" w:color="auto" w:fill="DEEAF6" w:themeFill="accent1" w:themeFillTint="33"/>
          </w:tcPr>
          <w:p w14:paraId="1E0C348A" w14:textId="3233B617" w:rsidR="009D03FA" w:rsidRPr="00814210" w:rsidRDefault="009D03FA" w:rsidP="005959FC">
            <w:pPr>
              <w:jc w:val="center"/>
              <w:rPr>
                <w:b/>
                <w:bCs/>
              </w:rPr>
            </w:pPr>
            <w:r w:rsidRPr="00814210">
              <w:rPr>
                <w:b/>
                <w:bCs/>
              </w:rPr>
              <w:t>Independientes</w:t>
            </w:r>
          </w:p>
        </w:tc>
        <w:tc>
          <w:tcPr>
            <w:tcW w:w="1261" w:type="dxa"/>
            <w:shd w:val="clear" w:color="auto" w:fill="DEEAF6" w:themeFill="accent1" w:themeFillTint="33"/>
          </w:tcPr>
          <w:p w14:paraId="554856D7" w14:textId="6BE342AD" w:rsidR="009D03FA" w:rsidRPr="00814210" w:rsidRDefault="009D03FA" w:rsidP="005959FC">
            <w:pPr>
              <w:jc w:val="center"/>
              <w:rPr>
                <w:b/>
                <w:bCs/>
              </w:rPr>
            </w:pPr>
            <w:r w:rsidRPr="00814210">
              <w:rPr>
                <w:b/>
                <w:bCs/>
              </w:rPr>
              <w:t>Otros</w:t>
            </w:r>
          </w:p>
        </w:tc>
        <w:tc>
          <w:tcPr>
            <w:tcW w:w="1261" w:type="dxa"/>
            <w:shd w:val="clear" w:color="auto" w:fill="DEEAF6" w:themeFill="accent1" w:themeFillTint="33"/>
          </w:tcPr>
          <w:p w14:paraId="53386599" w14:textId="6DEFF851" w:rsidR="009D03FA" w:rsidRPr="00814210" w:rsidRDefault="009D03FA" w:rsidP="005959FC">
            <w:pPr>
              <w:jc w:val="center"/>
              <w:rPr>
                <w:b/>
                <w:bCs/>
              </w:rPr>
            </w:pPr>
            <w:r w:rsidRPr="00814210">
              <w:rPr>
                <w:b/>
                <w:bCs/>
              </w:rPr>
              <w:t>Docentes</w:t>
            </w:r>
          </w:p>
        </w:tc>
        <w:tc>
          <w:tcPr>
            <w:tcW w:w="1261" w:type="dxa"/>
            <w:shd w:val="clear" w:color="auto" w:fill="DEEAF6" w:themeFill="accent1" w:themeFillTint="33"/>
          </w:tcPr>
          <w:p w14:paraId="359E8336" w14:textId="7654057E" w:rsidR="009D03FA" w:rsidRPr="00814210" w:rsidRDefault="009D03FA" w:rsidP="005959FC">
            <w:pPr>
              <w:jc w:val="center"/>
              <w:rPr>
                <w:b/>
                <w:bCs/>
              </w:rPr>
            </w:pPr>
            <w:r w:rsidRPr="00814210">
              <w:rPr>
                <w:b/>
                <w:bCs/>
              </w:rPr>
              <w:t>Pensionados</w:t>
            </w:r>
          </w:p>
        </w:tc>
        <w:tc>
          <w:tcPr>
            <w:tcW w:w="1261" w:type="dxa"/>
            <w:shd w:val="clear" w:color="auto" w:fill="DEEAF6" w:themeFill="accent1" w:themeFillTint="33"/>
          </w:tcPr>
          <w:p w14:paraId="1D1C8649" w14:textId="2E3033AF" w:rsidR="009D03FA" w:rsidRPr="00814210" w:rsidRDefault="009D03FA" w:rsidP="005959FC">
            <w:pPr>
              <w:jc w:val="center"/>
              <w:rPr>
                <w:b/>
                <w:bCs/>
              </w:rPr>
            </w:pPr>
            <w:r w:rsidRPr="00814210">
              <w:rPr>
                <w:b/>
                <w:bCs/>
              </w:rPr>
              <w:t>Militares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14:paraId="6A5865ED" w14:textId="54A736DC" w:rsidR="009D03FA" w:rsidRPr="00814210" w:rsidRDefault="00814210" w:rsidP="005959FC">
            <w:pPr>
              <w:jc w:val="center"/>
              <w:rPr>
                <w:b/>
                <w:bCs/>
              </w:rPr>
            </w:pPr>
            <w:r w:rsidRPr="00814210">
              <w:rPr>
                <w:b/>
                <w:bCs/>
              </w:rPr>
              <w:t>E. Pub</w:t>
            </w:r>
            <w:r w:rsidR="00A73596">
              <w:rPr>
                <w:b/>
                <w:bCs/>
              </w:rPr>
              <w:t>lico</w:t>
            </w:r>
          </w:p>
        </w:tc>
      </w:tr>
      <w:tr w:rsidR="00A73596" w14:paraId="1A8553A7" w14:textId="77777777" w:rsidTr="00A73596">
        <w:tc>
          <w:tcPr>
            <w:tcW w:w="1261" w:type="dxa"/>
            <w:shd w:val="clear" w:color="auto" w:fill="DEEAF6" w:themeFill="accent1" w:themeFillTint="33"/>
          </w:tcPr>
          <w:p w14:paraId="47213801" w14:textId="12FFC065" w:rsidR="009D03FA" w:rsidRPr="00814210" w:rsidRDefault="009D03FA" w:rsidP="00F670E6">
            <w:pPr>
              <w:rPr>
                <w:b/>
                <w:bCs/>
              </w:rPr>
            </w:pPr>
            <w:r w:rsidRPr="00814210">
              <w:rPr>
                <w:b/>
                <w:bCs/>
              </w:rPr>
              <w:t>Con Baja</w:t>
            </w:r>
          </w:p>
        </w:tc>
        <w:tc>
          <w:tcPr>
            <w:tcW w:w="1261" w:type="dxa"/>
          </w:tcPr>
          <w:p w14:paraId="606E6384" w14:textId="4C653B66" w:rsidR="009D03FA" w:rsidRDefault="005959FC" w:rsidP="005959FC">
            <w:pPr>
              <w:jc w:val="right"/>
            </w:pPr>
            <w:r>
              <w:t>41.39</w:t>
            </w:r>
            <w:r w:rsidR="000B489F">
              <w:t>7</w:t>
            </w:r>
            <w:r>
              <w:t>%</w:t>
            </w:r>
          </w:p>
        </w:tc>
        <w:tc>
          <w:tcPr>
            <w:tcW w:w="1261" w:type="dxa"/>
          </w:tcPr>
          <w:p w14:paraId="05ECA10A" w14:textId="3A49ADBC" w:rsidR="009D03FA" w:rsidRDefault="000B489F" w:rsidP="005959FC">
            <w:pPr>
              <w:jc w:val="right"/>
            </w:pPr>
            <w:r>
              <w:t>13.978%</w:t>
            </w:r>
          </w:p>
        </w:tc>
        <w:tc>
          <w:tcPr>
            <w:tcW w:w="1261" w:type="dxa"/>
          </w:tcPr>
          <w:p w14:paraId="61EAA731" w14:textId="5C6D1734" w:rsidR="009D03FA" w:rsidRDefault="00146817" w:rsidP="005959FC">
            <w:pPr>
              <w:jc w:val="right"/>
            </w:pPr>
            <w:r>
              <w:t>7.526%</w:t>
            </w:r>
          </w:p>
        </w:tc>
        <w:tc>
          <w:tcPr>
            <w:tcW w:w="1261" w:type="dxa"/>
          </w:tcPr>
          <w:p w14:paraId="021CE33D" w14:textId="649D2E77" w:rsidR="009D03FA" w:rsidRDefault="00146817" w:rsidP="005959FC">
            <w:pPr>
              <w:jc w:val="right"/>
            </w:pPr>
            <w:r>
              <w:t>17.204%</w:t>
            </w:r>
          </w:p>
        </w:tc>
        <w:tc>
          <w:tcPr>
            <w:tcW w:w="1261" w:type="dxa"/>
          </w:tcPr>
          <w:p w14:paraId="294645DF" w14:textId="6ED2D30C" w:rsidR="009D03FA" w:rsidRDefault="00A73596" w:rsidP="005959FC">
            <w:pPr>
              <w:jc w:val="right"/>
            </w:pPr>
            <w:r>
              <w:t>1.612%</w:t>
            </w:r>
          </w:p>
        </w:tc>
        <w:tc>
          <w:tcPr>
            <w:tcW w:w="1262" w:type="dxa"/>
          </w:tcPr>
          <w:p w14:paraId="07F34406" w14:textId="4116688D" w:rsidR="009D03FA" w:rsidRDefault="00A73596" w:rsidP="005959FC">
            <w:pPr>
              <w:jc w:val="right"/>
            </w:pPr>
            <w:r>
              <w:t>0.5376%</w:t>
            </w:r>
          </w:p>
        </w:tc>
      </w:tr>
      <w:tr w:rsidR="00A73596" w14:paraId="09D62AE9" w14:textId="77777777" w:rsidTr="00A73596">
        <w:tc>
          <w:tcPr>
            <w:tcW w:w="1261" w:type="dxa"/>
            <w:shd w:val="clear" w:color="auto" w:fill="DEEAF6" w:themeFill="accent1" w:themeFillTint="33"/>
          </w:tcPr>
          <w:p w14:paraId="07E6ED5C" w14:textId="07E6AA18" w:rsidR="009D03FA" w:rsidRPr="00814210" w:rsidRDefault="009D03FA" w:rsidP="00F670E6">
            <w:pPr>
              <w:rPr>
                <w:b/>
                <w:bCs/>
              </w:rPr>
            </w:pPr>
            <w:r w:rsidRPr="00814210">
              <w:rPr>
                <w:b/>
                <w:bCs/>
              </w:rPr>
              <w:t>Sin baja</w:t>
            </w:r>
          </w:p>
        </w:tc>
        <w:tc>
          <w:tcPr>
            <w:tcW w:w="1261" w:type="dxa"/>
          </w:tcPr>
          <w:p w14:paraId="412CA509" w14:textId="62A49C15" w:rsidR="009D03FA" w:rsidRDefault="005959FC" w:rsidP="005959FC">
            <w:pPr>
              <w:jc w:val="right"/>
            </w:pPr>
            <w:r>
              <w:t>22.10</w:t>
            </w:r>
            <w:r w:rsidR="000B489F">
              <w:t>7</w:t>
            </w:r>
            <w:r>
              <w:t>%</w:t>
            </w:r>
          </w:p>
        </w:tc>
        <w:tc>
          <w:tcPr>
            <w:tcW w:w="1261" w:type="dxa"/>
          </w:tcPr>
          <w:p w14:paraId="68C4101A" w14:textId="2303A505" w:rsidR="009D03FA" w:rsidRDefault="000B489F" w:rsidP="005959FC">
            <w:pPr>
              <w:jc w:val="right"/>
            </w:pPr>
            <w:r>
              <w:t>21.128%</w:t>
            </w:r>
          </w:p>
        </w:tc>
        <w:tc>
          <w:tcPr>
            <w:tcW w:w="1261" w:type="dxa"/>
          </w:tcPr>
          <w:p w14:paraId="44AA9A60" w14:textId="47DB968D" w:rsidR="009D03FA" w:rsidRDefault="00146817" w:rsidP="005959FC">
            <w:pPr>
              <w:jc w:val="right"/>
            </w:pPr>
            <w:r>
              <w:t>5.784%</w:t>
            </w:r>
          </w:p>
        </w:tc>
        <w:tc>
          <w:tcPr>
            <w:tcW w:w="1261" w:type="dxa"/>
          </w:tcPr>
          <w:p w14:paraId="5FF1220D" w14:textId="6FC569E6" w:rsidR="009D03FA" w:rsidRDefault="00146817" w:rsidP="005959FC">
            <w:pPr>
              <w:jc w:val="right"/>
            </w:pPr>
            <w:r>
              <w:t>25.758%</w:t>
            </w:r>
          </w:p>
        </w:tc>
        <w:tc>
          <w:tcPr>
            <w:tcW w:w="1261" w:type="dxa"/>
          </w:tcPr>
          <w:p w14:paraId="40B42A02" w14:textId="37BCC66C" w:rsidR="009D03FA" w:rsidRDefault="00A73596" w:rsidP="005959FC">
            <w:pPr>
              <w:jc w:val="right"/>
            </w:pPr>
            <w:r>
              <w:t>1.572%</w:t>
            </w:r>
          </w:p>
        </w:tc>
        <w:tc>
          <w:tcPr>
            <w:tcW w:w="1262" w:type="dxa"/>
          </w:tcPr>
          <w:p w14:paraId="5ABC6E09" w14:textId="23901ED8" w:rsidR="009D03FA" w:rsidRDefault="00A73596" w:rsidP="005959FC">
            <w:pPr>
              <w:jc w:val="right"/>
            </w:pPr>
            <w:r>
              <w:t>1.1127%</w:t>
            </w:r>
          </w:p>
        </w:tc>
      </w:tr>
    </w:tbl>
    <w:p w14:paraId="311376F1" w14:textId="7720A30A" w:rsidR="009D03FA" w:rsidRDefault="00A73596" w:rsidP="003779AF">
      <w:pPr>
        <w:pStyle w:val="Descripcin"/>
        <w:spacing w:after="0"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Proporción de población perteneciente a cada colectivo.</w:t>
      </w:r>
    </w:p>
    <w:tbl>
      <w:tblPr>
        <w:tblStyle w:val="Tablaconcuadrcula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54723F" w14:paraId="1FA592A3" w14:textId="77777777" w:rsidTr="003779AF">
        <w:tc>
          <w:tcPr>
            <w:tcW w:w="9066" w:type="dxa"/>
          </w:tcPr>
          <w:p w14:paraId="66A9EAE7" w14:textId="77777777" w:rsidR="0054723F" w:rsidRDefault="00AA5713" w:rsidP="003779AF">
            <w:pPr>
              <w:jc w:val="center"/>
              <w:rPr>
                <w:lang w:val="es-419"/>
              </w:rPr>
            </w:pPr>
            <w:r>
              <w:rPr>
                <w:noProof/>
                <w:lang w:val="es-419"/>
              </w:rPr>
              <w:lastRenderedPageBreak/>
              <w:drawing>
                <wp:inline distT="0" distB="0" distL="0" distR="0" wp14:anchorId="5438C0E8" wp14:editId="785096ED">
                  <wp:extent cx="5188932" cy="21600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932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3F" w14:paraId="7EB4B3E4" w14:textId="77777777" w:rsidTr="003779AF">
        <w:tc>
          <w:tcPr>
            <w:tcW w:w="9066" w:type="dxa"/>
          </w:tcPr>
          <w:p w14:paraId="2DF72E37" w14:textId="4257C119" w:rsidR="0054723F" w:rsidRDefault="00AA5713" w:rsidP="003779AF">
            <w:pPr>
              <w:jc w:val="center"/>
              <w:rPr>
                <w:lang w:val="es-419"/>
              </w:rPr>
            </w:pPr>
            <w:r>
              <w:rPr>
                <w:noProof/>
                <w:lang w:val="es-419"/>
              </w:rPr>
              <w:drawing>
                <wp:inline distT="0" distB="0" distL="0" distR="0" wp14:anchorId="28844869" wp14:editId="5F4311EA">
                  <wp:extent cx="5097485" cy="2160000"/>
                  <wp:effectExtent l="0" t="0" r="825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48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3D13B" w14:textId="1FA2123F" w:rsidR="0054723F" w:rsidRDefault="00F51EC2" w:rsidP="003779AF">
      <w:pPr>
        <w:pStyle w:val="Descripcin"/>
        <w:spacing w:after="0"/>
        <w:jc w:val="center"/>
        <w:rPr>
          <w:lang w:val="es-419"/>
        </w:rPr>
      </w:pPr>
      <w:r>
        <w:t xml:space="preserve">Figura </w:t>
      </w:r>
      <w:fldSimple w:instr=" SEQ Figura \* ARABIC ">
        <w:r w:rsidR="003D3DD0">
          <w:rPr>
            <w:noProof/>
          </w:rPr>
          <w:t>3</w:t>
        </w:r>
      </w:fldSimple>
      <w:r>
        <w:t>. Comparación de conteo por colectivo según presencia de baja en Buró</w:t>
      </w:r>
    </w:p>
    <w:p w14:paraId="2B931616" w14:textId="09597B43" w:rsidR="000929DD" w:rsidRDefault="00F51EC2" w:rsidP="0098324B">
      <w:pPr>
        <w:jc w:val="both"/>
        <w:rPr>
          <w:lang w:val="es-419"/>
        </w:rPr>
      </w:pPr>
      <w:r>
        <w:rPr>
          <w:lang w:val="es-419"/>
        </w:rPr>
        <w:t xml:space="preserve">Se observa </w:t>
      </w:r>
      <w:r w:rsidR="00693BF2">
        <w:rPr>
          <w:lang w:val="es-419"/>
        </w:rPr>
        <w:t>que,</w:t>
      </w:r>
      <w:r>
        <w:rPr>
          <w:lang w:val="es-419"/>
        </w:rPr>
        <w:t xml:space="preserve"> en los colectivos </w:t>
      </w:r>
      <w:r w:rsidR="00615A6C">
        <w:rPr>
          <w:lang w:val="es-419"/>
        </w:rPr>
        <w:t>de Independientes, otros y empleados públicos</w:t>
      </w:r>
      <w:r w:rsidR="0098324B">
        <w:rPr>
          <w:lang w:val="es-419"/>
        </w:rPr>
        <w:t>, el porcentaje de representación del gremio en la población sin baja en el buró es casi el doble respecto a la población con baja en el Buró.</w:t>
      </w:r>
    </w:p>
    <w:p w14:paraId="12D95C66" w14:textId="6FABBDFF" w:rsidR="0098324B" w:rsidRDefault="00E908BB" w:rsidP="003779AF">
      <w:pPr>
        <w:spacing w:after="0"/>
        <w:jc w:val="both"/>
        <w:rPr>
          <w:lang w:val="es-419"/>
        </w:rPr>
      </w:pPr>
      <w:r>
        <w:rPr>
          <w:lang w:val="es-419"/>
        </w:rPr>
        <w:t xml:space="preserve">Se continúa con la caracterización </w:t>
      </w:r>
      <w:r w:rsidR="00693BF2">
        <w:rPr>
          <w:lang w:val="es-419"/>
        </w:rPr>
        <w:t>de activos y pasivos en cada grupo poblacional. En este caso, por tratarse de variables altamente relacionadas, se van a cruzar las dos variables para cada grupo poblacional. El resultado se muestra en la figura 4.</w:t>
      </w:r>
    </w:p>
    <w:p w14:paraId="313D2B7A" w14:textId="0B38DF7E" w:rsidR="00F51EC2" w:rsidRDefault="007E2BC5" w:rsidP="003779AF">
      <w:pPr>
        <w:spacing w:after="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58BC135" wp14:editId="203B2992">
            <wp:extent cx="4800600" cy="2424200"/>
            <wp:effectExtent l="0" t="0" r="0" b="0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53" cy="24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ADAE" w14:textId="1FF04F91" w:rsidR="007E2BC5" w:rsidRDefault="007E2BC5" w:rsidP="007E2BC5">
      <w:pPr>
        <w:pStyle w:val="Descripcin"/>
        <w:jc w:val="center"/>
      </w:pPr>
      <w:r>
        <w:t xml:space="preserve">Figura </w:t>
      </w:r>
      <w:fldSimple w:instr=" SEQ Figura \* ARABIC ">
        <w:r w:rsidR="003D3DD0">
          <w:rPr>
            <w:noProof/>
          </w:rPr>
          <w:t>4</w:t>
        </w:r>
      </w:fldSimple>
      <w:r>
        <w:t>. Relación de activos y pasivos en población con y sin baja en Buró</w:t>
      </w:r>
    </w:p>
    <w:p w14:paraId="3AAA958F" w14:textId="36F777DF" w:rsidR="00975576" w:rsidRDefault="007E2BC5" w:rsidP="003779AF">
      <w:pPr>
        <w:spacing w:after="0"/>
        <w:jc w:val="both"/>
        <w:rPr>
          <w:lang w:val="es-419"/>
        </w:rPr>
      </w:pPr>
      <w:r>
        <w:rPr>
          <w:lang w:val="es-419"/>
        </w:rPr>
        <w:lastRenderedPageBreak/>
        <w:t xml:space="preserve">Se observa particularmente que </w:t>
      </w:r>
      <w:r w:rsidR="006160A6">
        <w:rPr>
          <w:lang w:val="es-419"/>
        </w:rPr>
        <w:t xml:space="preserve">la población con baja en el buró se caracteriza por </w:t>
      </w:r>
      <w:r w:rsidR="007B0635">
        <w:rPr>
          <w:lang w:val="es-419"/>
        </w:rPr>
        <w:t xml:space="preserve">tener pocos activos y pasivos. Particularmente </w:t>
      </w:r>
      <w:r w:rsidR="00FD0009">
        <w:rPr>
          <w:lang w:val="es-419"/>
        </w:rPr>
        <w:t xml:space="preserve">muchos menos pasivos que activos, en comparación con la población </w:t>
      </w:r>
      <w:r w:rsidR="00C25843">
        <w:rPr>
          <w:lang w:val="es-419"/>
        </w:rPr>
        <w:t>que no presentó baja en el buró.</w:t>
      </w:r>
      <w:r w:rsidR="00312C28">
        <w:rPr>
          <w:lang w:val="es-419"/>
        </w:rPr>
        <w:t xml:space="preserve"> Al entrar en el detalle</w:t>
      </w:r>
      <w:r w:rsidR="00975576">
        <w:rPr>
          <w:lang w:val="es-419"/>
        </w:rPr>
        <w:t xml:space="preserve"> de la distribución de la relación de activos y pasivos en la población con baja en el buró, se encuentra el resultado mostrado en la figura 5. </w:t>
      </w:r>
    </w:p>
    <w:p w14:paraId="35A07B82" w14:textId="1D864A97" w:rsidR="00975576" w:rsidRDefault="00975576" w:rsidP="003779AF">
      <w:pPr>
        <w:spacing w:after="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22BB6B8" wp14:editId="6E918945">
            <wp:extent cx="4800600" cy="2416595"/>
            <wp:effectExtent l="0" t="0" r="0" b="3175"/>
            <wp:docPr id="11" name="Imagen 1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37" cy="241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49AA" w14:textId="10008120" w:rsidR="00975576" w:rsidRDefault="00975576" w:rsidP="00975576">
      <w:pPr>
        <w:pStyle w:val="Descripcin"/>
        <w:jc w:val="center"/>
        <w:rPr>
          <w:lang w:val="es-419"/>
        </w:rPr>
      </w:pPr>
      <w:r>
        <w:t xml:space="preserve">Figura </w:t>
      </w:r>
      <w:fldSimple w:instr=" SEQ Figura \* ARABIC ">
        <w:r w:rsidR="003D3DD0">
          <w:rPr>
            <w:noProof/>
          </w:rPr>
          <w:t>5</w:t>
        </w:r>
      </w:fldSimple>
      <w:r>
        <w:t>. Relación</w:t>
      </w:r>
      <w:r>
        <w:rPr>
          <w:noProof/>
        </w:rPr>
        <w:t xml:space="preserve"> de activos y pasivos en población con baja de buró</w:t>
      </w:r>
    </w:p>
    <w:p w14:paraId="1B68F831" w14:textId="5AABA61D" w:rsidR="00FB3499" w:rsidRDefault="00975576" w:rsidP="00B3492B">
      <w:pPr>
        <w:spacing w:after="0"/>
        <w:rPr>
          <w:lang w:val="es-419"/>
        </w:rPr>
      </w:pPr>
      <w:r>
        <w:rPr>
          <w:lang w:val="es-419"/>
        </w:rPr>
        <w:t xml:space="preserve">Se aprecia que </w:t>
      </w:r>
      <w:r w:rsidR="00D9637B">
        <w:rPr>
          <w:lang w:val="es-419"/>
        </w:rPr>
        <w:t xml:space="preserve">la distribución de hombres y mujeres </w:t>
      </w:r>
      <w:r w:rsidR="00263FB8">
        <w:rPr>
          <w:lang w:val="es-419"/>
        </w:rPr>
        <w:t>con baja en el buró</w:t>
      </w:r>
      <w:r w:rsidR="006D2AD3">
        <w:rPr>
          <w:lang w:val="es-419"/>
        </w:rPr>
        <w:t xml:space="preserve"> </w:t>
      </w:r>
      <w:r w:rsidR="00F27095">
        <w:rPr>
          <w:lang w:val="es-419"/>
        </w:rPr>
        <w:t xml:space="preserve">en la relación de </w:t>
      </w:r>
      <w:r w:rsidR="00263FB8">
        <w:rPr>
          <w:lang w:val="es-419"/>
        </w:rPr>
        <w:t>activos y pasivos</w:t>
      </w:r>
      <w:r w:rsidR="006D2AD3">
        <w:rPr>
          <w:lang w:val="es-419"/>
        </w:rPr>
        <w:t xml:space="preserve"> es aproximadamente homogénea, con presencia de contados puntos </w:t>
      </w:r>
      <w:r w:rsidR="00F065DC">
        <w:rPr>
          <w:lang w:val="es-419"/>
        </w:rPr>
        <w:t>de alto valor. Pero dada la poca frecuencia, no se puede considerar como tendencia.</w:t>
      </w:r>
    </w:p>
    <w:p w14:paraId="7BF67940" w14:textId="10320E1B" w:rsidR="00FB3499" w:rsidRDefault="00FB3499" w:rsidP="007E2BC5">
      <w:pPr>
        <w:rPr>
          <w:lang w:val="es-419"/>
        </w:rPr>
      </w:pPr>
      <w:r>
        <w:rPr>
          <w:lang w:val="es-419"/>
        </w:rPr>
        <w:t xml:space="preserve">Se comparan las rentabilidades de los </w:t>
      </w:r>
      <w:r w:rsidR="003F68EF">
        <w:rPr>
          <w:lang w:val="es-419"/>
        </w:rPr>
        <w:t xml:space="preserve">dos grupos poblacionales </w:t>
      </w:r>
      <w:r w:rsidR="00431605">
        <w:rPr>
          <w:lang w:val="es-419"/>
        </w:rPr>
        <w:t>se agrupan según el colectivo al que pertenecen</w:t>
      </w:r>
      <w:r w:rsidR="009E584F">
        <w:rPr>
          <w:lang w:val="es-419"/>
        </w:rPr>
        <w:t>, conforme a lo mostrado en la figura 6</w:t>
      </w:r>
      <w:r w:rsidR="00431605">
        <w:rPr>
          <w:lang w:val="es-419"/>
        </w:rPr>
        <w:t xml:space="preserve">. En cada caso se </w:t>
      </w:r>
      <w:r w:rsidR="00C036A6">
        <w:rPr>
          <w:lang w:val="es-419"/>
        </w:rPr>
        <w:t>enfrentan los diagramas para los casos con y s</w:t>
      </w:r>
      <w:r w:rsidR="009E584F">
        <w:rPr>
          <w:lang w:val="es-419"/>
        </w:rPr>
        <w:t>in baja en Buró.</w:t>
      </w:r>
    </w:p>
    <w:p w14:paraId="746A27F0" w14:textId="01255AA6" w:rsidR="00F065DC" w:rsidRDefault="00B1088D" w:rsidP="00B3492B">
      <w:pPr>
        <w:spacing w:after="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BD7D346" wp14:editId="358A0FAA">
            <wp:extent cx="4884933" cy="3246120"/>
            <wp:effectExtent l="0" t="0" r="0" b="0"/>
            <wp:docPr id="20" name="Imagen 20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76" cy="32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6594" w14:textId="7B33C066" w:rsidR="009E584F" w:rsidRDefault="009E584F" w:rsidP="009E584F">
      <w:pPr>
        <w:pStyle w:val="Descripcin"/>
        <w:jc w:val="center"/>
      </w:pPr>
      <w:r>
        <w:t xml:space="preserve">Figura </w:t>
      </w:r>
      <w:fldSimple w:instr=" SEQ Figura \* ARABIC ">
        <w:r w:rsidR="003D3DD0">
          <w:rPr>
            <w:noProof/>
          </w:rPr>
          <w:t>6</w:t>
        </w:r>
      </w:fldSimple>
      <w:r>
        <w:t>. Comparación de rentabilidad por colectivo y baja en buró</w:t>
      </w:r>
    </w:p>
    <w:p w14:paraId="00C0210B" w14:textId="77777777" w:rsidR="002B7EEC" w:rsidRDefault="0008468D" w:rsidP="00981D30">
      <w:pPr>
        <w:jc w:val="both"/>
        <w:rPr>
          <w:lang w:val="es-419"/>
        </w:rPr>
      </w:pPr>
      <w:r>
        <w:rPr>
          <w:lang w:val="es-419"/>
        </w:rPr>
        <w:lastRenderedPageBreak/>
        <w:t xml:space="preserve">Para el caso de la rentabilidad, se tiene para el caso de independientes y pensionados que </w:t>
      </w:r>
      <w:r w:rsidR="009C5465">
        <w:rPr>
          <w:lang w:val="es-419"/>
        </w:rPr>
        <w:t xml:space="preserve">el rango de rentabilidades que obtienen es más amplio </w:t>
      </w:r>
      <w:r w:rsidR="005272D9">
        <w:rPr>
          <w:lang w:val="es-419"/>
        </w:rPr>
        <w:t xml:space="preserve">para la población con baja en el buró, respecto a sus contrapartes </w:t>
      </w:r>
      <w:r w:rsidR="00981D30">
        <w:rPr>
          <w:lang w:val="es-419"/>
        </w:rPr>
        <w:t>sin baja.</w:t>
      </w:r>
      <w:r w:rsidR="002077E5">
        <w:rPr>
          <w:lang w:val="es-419"/>
        </w:rPr>
        <w:t xml:space="preserve"> Se observa un comportamiento particular en los empleados públicos, ya que estos no registran </w:t>
      </w:r>
      <w:r w:rsidR="002B7EEC">
        <w:rPr>
          <w:lang w:val="es-419"/>
        </w:rPr>
        <w:t>datos de rentabilidad en el caso de baja en el buró.</w:t>
      </w:r>
    </w:p>
    <w:p w14:paraId="1E8B9417" w14:textId="77777777" w:rsidR="002B7EEC" w:rsidRDefault="002B7EEC" w:rsidP="00981D30">
      <w:pPr>
        <w:jc w:val="both"/>
        <w:rPr>
          <w:lang w:val="es-419"/>
        </w:rPr>
      </w:pPr>
    </w:p>
    <w:p w14:paraId="45B3E47B" w14:textId="61448600" w:rsidR="00A94EC0" w:rsidRDefault="00DD6472" w:rsidP="00981D30">
      <w:pPr>
        <w:jc w:val="both"/>
        <w:rPr>
          <w:lang w:val="es-419"/>
        </w:rPr>
      </w:pPr>
      <w:r>
        <w:rPr>
          <w:lang w:val="es-419"/>
        </w:rPr>
        <w:t xml:space="preserve">En general, tanto en la población con baja, como sin baja, los valores de </w:t>
      </w:r>
      <w:r w:rsidR="005022F8">
        <w:rPr>
          <w:lang w:val="es-419"/>
        </w:rPr>
        <w:t>rentabilidad presentan</w:t>
      </w:r>
      <w:r w:rsidR="00137C4F">
        <w:rPr>
          <w:lang w:val="es-419"/>
        </w:rPr>
        <w:t xml:space="preserve"> rentabilidades </w:t>
      </w:r>
      <w:r w:rsidR="005022F8">
        <w:rPr>
          <w:lang w:val="es-419"/>
        </w:rPr>
        <w:t xml:space="preserve">tanto positivas como negativas. La figura 7 muestra </w:t>
      </w:r>
      <w:r w:rsidR="008B23D8">
        <w:rPr>
          <w:lang w:val="es-419"/>
        </w:rPr>
        <w:t xml:space="preserve">las distribuciones generales de la rentabilidad </w:t>
      </w:r>
      <w:r w:rsidR="00A94EC0">
        <w:rPr>
          <w:lang w:val="es-419"/>
        </w:rPr>
        <w:t>dependiendo el resultado del Buró.</w:t>
      </w:r>
    </w:p>
    <w:p w14:paraId="1CD59EB2" w14:textId="77777777" w:rsidR="002F78F4" w:rsidRDefault="002F78F4" w:rsidP="00981D30">
      <w:pPr>
        <w:jc w:val="both"/>
        <w:rPr>
          <w:lang w:val="es-419"/>
        </w:rPr>
      </w:pPr>
    </w:p>
    <w:p w14:paraId="27BE68EC" w14:textId="75B3D818" w:rsidR="00A94EC0" w:rsidRDefault="00B92D16" w:rsidP="00A94EC0">
      <w:pPr>
        <w:spacing w:after="0"/>
        <w:jc w:val="both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4400B83" wp14:editId="6C24BBD4">
            <wp:extent cx="5612130" cy="3314065"/>
            <wp:effectExtent l="0" t="0" r="7620" b="635"/>
            <wp:docPr id="21" name="Imagen 2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A069" w14:textId="2913C9DD" w:rsidR="00A94EC0" w:rsidRDefault="007F43B6" w:rsidP="007F43B6">
      <w:pPr>
        <w:pStyle w:val="Descripcin"/>
        <w:jc w:val="center"/>
        <w:rPr>
          <w:lang w:val="es-419"/>
        </w:rPr>
      </w:pPr>
      <w:r>
        <w:t xml:space="preserve">Figura </w:t>
      </w:r>
      <w:fldSimple w:instr=" SEQ Figura \* ARABIC ">
        <w:r w:rsidR="003D3DD0">
          <w:rPr>
            <w:noProof/>
          </w:rPr>
          <w:t>7</w:t>
        </w:r>
      </w:fldSimple>
      <w:r>
        <w:t xml:space="preserve">. </w:t>
      </w:r>
      <w:r w:rsidRPr="003776A2">
        <w:t>Comparación de distribución de rentabilidad de usuarios con y sin baja en el buró</w:t>
      </w:r>
    </w:p>
    <w:p w14:paraId="42D362AD" w14:textId="33F26BE6" w:rsidR="00FB3499" w:rsidRDefault="00FB3499" w:rsidP="007E2BC5">
      <w:pPr>
        <w:rPr>
          <w:lang w:val="es-419"/>
        </w:rPr>
      </w:pPr>
    </w:p>
    <w:p w14:paraId="76221319" w14:textId="5FA9B312" w:rsidR="007F43B6" w:rsidRDefault="007F43B6" w:rsidP="007E2BC5">
      <w:pPr>
        <w:rPr>
          <w:lang w:val="es-419"/>
        </w:rPr>
      </w:pPr>
      <w:r>
        <w:rPr>
          <w:lang w:val="es-419"/>
        </w:rPr>
        <w:t xml:space="preserve">Se observa que </w:t>
      </w:r>
      <w:r w:rsidR="007648B0">
        <w:rPr>
          <w:lang w:val="es-419"/>
        </w:rPr>
        <w:t>las rentabilidades de quienes tuvieron baja en el buró son mucho más variadas</w:t>
      </w:r>
      <w:r w:rsidR="00F143C5">
        <w:rPr>
          <w:lang w:val="es-419"/>
        </w:rPr>
        <w:t xml:space="preserve"> que las rentabilidades de quienes no presentaron baja.</w:t>
      </w:r>
    </w:p>
    <w:p w14:paraId="0C4798B4" w14:textId="6DD422E3" w:rsidR="009F58FB" w:rsidRDefault="009F58FB" w:rsidP="007E2BC5">
      <w:pPr>
        <w:rPr>
          <w:lang w:val="es-419"/>
        </w:rPr>
      </w:pPr>
    </w:p>
    <w:p w14:paraId="707E304F" w14:textId="7E8E7FA5" w:rsidR="00C25843" w:rsidRDefault="009F58FB" w:rsidP="007E2BC5">
      <w:pPr>
        <w:rPr>
          <w:lang w:val="es-419"/>
        </w:rPr>
      </w:pPr>
      <w:r>
        <w:rPr>
          <w:lang w:val="es-419"/>
        </w:rPr>
        <w:t>La figura 8 muestra la relación entre rentabilidad y activos en la población analizada.</w:t>
      </w:r>
    </w:p>
    <w:p w14:paraId="3BC3CAB6" w14:textId="77777777" w:rsidR="002F78F4" w:rsidRDefault="002F78F4" w:rsidP="007E2BC5">
      <w:pPr>
        <w:rPr>
          <w:lang w:val="es-419"/>
        </w:rPr>
      </w:pPr>
    </w:p>
    <w:p w14:paraId="36D2345E" w14:textId="7F6BBE22" w:rsidR="009F58FB" w:rsidRDefault="00F41281" w:rsidP="009F58FB">
      <w:pPr>
        <w:spacing w:after="0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532610EB" wp14:editId="4F709A27">
            <wp:extent cx="5612130" cy="2834005"/>
            <wp:effectExtent l="0" t="0" r="7620" b="4445"/>
            <wp:docPr id="22" name="Imagen 2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F044" w14:textId="30A6619D" w:rsidR="00F41281" w:rsidRDefault="00F41281" w:rsidP="005D7337">
      <w:pPr>
        <w:pStyle w:val="Descripcin"/>
        <w:jc w:val="center"/>
      </w:pPr>
      <w:r>
        <w:t xml:space="preserve">Figura </w:t>
      </w:r>
      <w:fldSimple w:instr=" SEQ Figura \* ARABIC ">
        <w:r w:rsidR="003D3DD0">
          <w:rPr>
            <w:noProof/>
          </w:rPr>
          <w:t>8</w:t>
        </w:r>
      </w:fldSimple>
      <w:r>
        <w:t xml:space="preserve">. </w:t>
      </w:r>
      <w:r w:rsidRPr="00F946CF">
        <w:t>Relación de activos y rentabilidad en clientes</w:t>
      </w:r>
    </w:p>
    <w:p w14:paraId="04DE92B3" w14:textId="522AF546" w:rsidR="00F41281" w:rsidRDefault="00F41281" w:rsidP="00675FBE">
      <w:pPr>
        <w:jc w:val="both"/>
        <w:rPr>
          <w:lang w:val="es-419"/>
        </w:rPr>
      </w:pPr>
      <w:r>
        <w:t>Se observa que</w:t>
      </w:r>
      <w:r w:rsidR="000E73F1">
        <w:t xml:space="preserve"> existe una asociación entre la alta renta</w:t>
      </w:r>
      <w:r w:rsidR="00E149F5">
        <w:t>bilidad y los bajos activos</w:t>
      </w:r>
      <w:r w:rsidR="003D7F1C">
        <w:t xml:space="preserve">. </w:t>
      </w:r>
      <w:r w:rsidR="00E459CF">
        <w:t xml:space="preserve">En lo que respecta a la población de interés </w:t>
      </w:r>
      <w:r w:rsidR="00E459CF">
        <w:rPr>
          <w:lang w:val="es-419"/>
        </w:rPr>
        <w:t>(con baja en el Buró), se evidencia que este grupo presenta bajos volúmenes de activos, independiente de s</w:t>
      </w:r>
      <w:r w:rsidR="00675FBE">
        <w:rPr>
          <w:lang w:val="es-419"/>
        </w:rPr>
        <w:t>us rentabilidades.</w:t>
      </w:r>
      <w:r w:rsidR="008314BD">
        <w:rPr>
          <w:lang w:val="es-419"/>
        </w:rPr>
        <w:t xml:space="preserve"> Un comportamiento muy similar se observa al relacionar la rentabilidad y el volumen del negocio</w:t>
      </w:r>
      <w:r w:rsidR="00A2436A">
        <w:rPr>
          <w:lang w:val="es-419"/>
        </w:rPr>
        <w:t xml:space="preserve">. De aquí se entra a analizar </w:t>
      </w:r>
      <w:r w:rsidR="00EC457E">
        <w:rPr>
          <w:lang w:val="es-419"/>
        </w:rPr>
        <w:t xml:space="preserve">el comportamiento de activos y volumen del negocio en </w:t>
      </w:r>
      <w:r w:rsidR="005D7337">
        <w:rPr>
          <w:lang w:val="es-419"/>
        </w:rPr>
        <w:t>la población estudiada, como se muestra en la figura 9.</w:t>
      </w:r>
    </w:p>
    <w:p w14:paraId="725B9B1A" w14:textId="70F544A0" w:rsidR="005D7337" w:rsidRDefault="005D7337" w:rsidP="005D7337">
      <w:pPr>
        <w:spacing w:after="0"/>
        <w:jc w:val="both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14F9B785" wp14:editId="61CF1778">
            <wp:extent cx="5612130" cy="2834005"/>
            <wp:effectExtent l="0" t="0" r="7620" b="4445"/>
            <wp:docPr id="23" name="Imagen 2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AAE2" w14:textId="01AF8327" w:rsidR="005D7337" w:rsidRDefault="005D7337" w:rsidP="005D7337">
      <w:pPr>
        <w:pStyle w:val="Descripcin"/>
        <w:jc w:val="center"/>
        <w:rPr>
          <w:lang w:val="es-419"/>
        </w:rPr>
      </w:pPr>
      <w:r>
        <w:t xml:space="preserve">Figura </w:t>
      </w:r>
      <w:fldSimple w:instr=" SEQ Figura \* ARABIC ">
        <w:r w:rsidR="003D3DD0">
          <w:rPr>
            <w:noProof/>
          </w:rPr>
          <w:t>9</w:t>
        </w:r>
      </w:fldSimple>
      <w:r>
        <w:t>. Relación entre activos y volumen del negocio</w:t>
      </w:r>
    </w:p>
    <w:p w14:paraId="6CFE21E4" w14:textId="7095268A" w:rsidR="002F78F4" w:rsidRDefault="002F78F4" w:rsidP="009F58FB">
      <w:pPr>
        <w:spacing w:after="0"/>
        <w:rPr>
          <w:lang w:val="es-419"/>
        </w:rPr>
      </w:pPr>
    </w:p>
    <w:p w14:paraId="2EA5D5C6" w14:textId="7561AB43" w:rsidR="009F58FB" w:rsidRDefault="00E212AD" w:rsidP="009F58FB">
      <w:pPr>
        <w:spacing w:after="0"/>
        <w:rPr>
          <w:lang w:val="es-419"/>
        </w:rPr>
      </w:pPr>
      <w:r>
        <w:rPr>
          <w:lang w:val="es-419"/>
        </w:rPr>
        <w:t xml:space="preserve">Se observa que las dos variables guardan una relación lineal y que la población con baja en el buró </w:t>
      </w:r>
      <w:r w:rsidR="00E22891">
        <w:rPr>
          <w:lang w:val="es-419"/>
        </w:rPr>
        <w:t xml:space="preserve">se caracteriza por estar sobre la línea de la relación 1 a 1 entre activos y volumen del negocio, específicamente en los valores </w:t>
      </w:r>
      <w:r w:rsidR="00662355">
        <w:rPr>
          <w:lang w:val="es-419"/>
        </w:rPr>
        <w:t>bajos (menor o igual a 0.2E+9 COP).</w:t>
      </w:r>
    </w:p>
    <w:p w14:paraId="3EF4201A" w14:textId="6F3C3FC0" w:rsidR="00BF54F2" w:rsidRDefault="00BF54F2" w:rsidP="009F58FB">
      <w:pPr>
        <w:spacing w:after="0"/>
        <w:rPr>
          <w:lang w:val="es-419"/>
        </w:rPr>
      </w:pPr>
      <w:r>
        <w:rPr>
          <w:lang w:val="es-419"/>
        </w:rPr>
        <w:lastRenderedPageBreak/>
        <w:t>Otra relación interesante surge al relacionar los activos y el ingreso final de la población, como se muestra en la figura 10.</w:t>
      </w:r>
    </w:p>
    <w:p w14:paraId="7566916C" w14:textId="5795B958" w:rsidR="00BF54F2" w:rsidRDefault="00BF54F2" w:rsidP="009F58FB">
      <w:pPr>
        <w:spacing w:after="0"/>
        <w:rPr>
          <w:lang w:val="es-419"/>
        </w:rPr>
      </w:pPr>
    </w:p>
    <w:p w14:paraId="3A2657E7" w14:textId="3F485CD8" w:rsidR="00A018A9" w:rsidRDefault="00A018A9" w:rsidP="009F58FB">
      <w:pPr>
        <w:spacing w:after="0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A92618A" wp14:editId="603494B7">
            <wp:extent cx="5612130" cy="2834005"/>
            <wp:effectExtent l="0" t="0" r="7620" b="4445"/>
            <wp:docPr id="26" name="Imagen 2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9B17" w14:textId="31CC2C6D" w:rsidR="003D3DD0" w:rsidRDefault="003D3DD0" w:rsidP="003D3DD0">
      <w:pPr>
        <w:pStyle w:val="Descripcin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. Relación entre</w:t>
      </w:r>
      <w:r>
        <w:rPr>
          <w:noProof/>
        </w:rPr>
        <w:t xml:space="preserve"> activos e ingreso final</w:t>
      </w:r>
    </w:p>
    <w:p w14:paraId="00D115DD" w14:textId="70405E9A" w:rsidR="003D3DD0" w:rsidRDefault="003D3DD0" w:rsidP="003D3DD0"/>
    <w:p w14:paraId="707A374D" w14:textId="73803864" w:rsidR="003D3DD0" w:rsidRPr="003D3DD0" w:rsidRDefault="003D3DD0" w:rsidP="002C55E1">
      <w:pPr>
        <w:jc w:val="both"/>
      </w:pPr>
      <w:r>
        <w:t>Se aprecia que la población con baja en el buró tiene a tener bajos activos</w:t>
      </w:r>
      <w:r w:rsidR="00A6633E">
        <w:t>, además de tener mayores ingresos finales con pocos activos.</w:t>
      </w:r>
      <w:r w:rsidR="002C55E1">
        <w:t xml:space="preserve"> </w:t>
      </w:r>
      <w:r w:rsidR="002C55E1" w:rsidRPr="00477568">
        <w:rPr>
          <w:u w:val="single"/>
        </w:rPr>
        <w:t>Considerando</w:t>
      </w:r>
      <w:r w:rsidR="002C55E1">
        <w:t xml:space="preserve"> que suelen tener bajas rentabilidades </w:t>
      </w:r>
      <w:r w:rsidR="00D51885">
        <w:t>y pocos pasivos, pueden considerarse como personas con una economía bastante conse</w:t>
      </w:r>
      <w:r w:rsidR="00477568">
        <w:t>r</w:t>
      </w:r>
      <w:r w:rsidR="00D51885">
        <w:t>vadora</w:t>
      </w:r>
      <w:r w:rsidR="00477568">
        <w:t xml:space="preserve"> en términos de toma de riesgos financieros</w:t>
      </w:r>
      <w:r w:rsidR="00F85AF5">
        <w:t>.</w:t>
      </w:r>
    </w:p>
    <w:p w14:paraId="49669678" w14:textId="77777777" w:rsidR="0094443F" w:rsidRDefault="0094443F" w:rsidP="009F58FB">
      <w:pPr>
        <w:spacing w:after="0"/>
        <w:rPr>
          <w:lang w:val="es-419"/>
        </w:rPr>
      </w:pPr>
    </w:p>
    <w:p w14:paraId="4E9D57E9" w14:textId="77777777" w:rsidR="00C37060" w:rsidRDefault="00C37060" w:rsidP="009F58FB">
      <w:pPr>
        <w:spacing w:after="0"/>
        <w:rPr>
          <w:lang w:val="es-419"/>
        </w:rPr>
      </w:pPr>
    </w:p>
    <w:sectPr w:rsidR="00C37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AF"/>
    <w:rsid w:val="00024919"/>
    <w:rsid w:val="0008468D"/>
    <w:rsid w:val="000929DD"/>
    <w:rsid w:val="000B2B2F"/>
    <w:rsid w:val="000B489F"/>
    <w:rsid w:val="000B4C60"/>
    <w:rsid w:val="000C32AB"/>
    <w:rsid w:val="000E73F1"/>
    <w:rsid w:val="00135677"/>
    <w:rsid w:val="00137C4F"/>
    <w:rsid w:val="00146817"/>
    <w:rsid w:val="00164563"/>
    <w:rsid w:val="002077E5"/>
    <w:rsid w:val="00263FB8"/>
    <w:rsid w:val="00275697"/>
    <w:rsid w:val="002758CA"/>
    <w:rsid w:val="00275A09"/>
    <w:rsid w:val="002B7EEC"/>
    <w:rsid w:val="002C55E1"/>
    <w:rsid w:val="002C6326"/>
    <w:rsid w:val="002E32C5"/>
    <w:rsid w:val="002F78F4"/>
    <w:rsid w:val="003052A8"/>
    <w:rsid w:val="00312C28"/>
    <w:rsid w:val="00321AC1"/>
    <w:rsid w:val="0037211E"/>
    <w:rsid w:val="003779AF"/>
    <w:rsid w:val="003956B5"/>
    <w:rsid w:val="003D3DD0"/>
    <w:rsid w:val="003D7F1C"/>
    <w:rsid w:val="003E3D01"/>
    <w:rsid w:val="003F68EF"/>
    <w:rsid w:val="00430EBB"/>
    <w:rsid w:val="00431605"/>
    <w:rsid w:val="00477568"/>
    <w:rsid w:val="004E2578"/>
    <w:rsid w:val="005022F8"/>
    <w:rsid w:val="005272D9"/>
    <w:rsid w:val="00531497"/>
    <w:rsid w:val="0054723F"/>
    <w:rsid w:val="00573C75"/>
    <w:rsid w:val="005959FC"/>
    <w:rsid w:val="00596AA0"/>
    <w:rsid w:val="005C7E5F"/>
    <w:rsid w:val="005D7337"/>
    <w:rsid w:val="00615A6C"/>
    <w:rsid w:val="006160A6"/>
    <w:rsid w:val="00662355"/>
    <w:rsid w:val="00672739"/>
    <w:rsid w:val="00675FBE"/>
    <w:rsid w:val="006764D1"/>
    <w:rsid w:val="00693BF2"/>
    <w:rsid w:val="006951DE"/>
    <w:rsid w:val="006C34CF"/>
    <w:rsid w:val="006D2AD3"/>
    <w:rsid w:val="006F12DC"/>
    <w:rsid w:val="007648B0"/>
    <w:rsid w:val="007B0635"/>
    <w:rsid w:val="007E2BC5"/>
    <w:rsid w:val="007F43B6"/>
    <w:rsid w:val="00800C6D"/>
    <w:rsid w:val="00814210"/>
    <w:rsid w:val="0082455D"/>
    <w:rsid w:val="008314BD"/>
    <w:rsid w:val="008A273E"/>
    <w:rsid w:val="008B23D8"/>
    <w:rsid w:val="008D707F"/>
    <w:rsid w:val="009202FD"/>
    <w:rsid w:val="00934DF1"/>
    <w:rsid w:val="0094443F"/>
    <w:rsid w:val="0094544C"/>
    <w:rsid w:val="00954820"/>
    <w:rsid w:val="00974FE7"/>
    <w:rsid w:val="00975576"/>
    <w:rsid w:val="00981D30"/>
    <w:rsid w:val="0098324B"/>
    <w:rsid w:val="009C5465"/>
    <w:rsid w:val="009C55AB"/>
    <w:rsid w:val="009D03FA"/>
    <w:rsid w:val="009D41D8"/>
    <w:rsid w:val="009E0A02"/>
    <w:rsid w:val="009E584F"/>
    <w:rsid w:val="009F58FB"/>
    <w:rsid w:val="00A00926"/>
    <w:rsid w:val="00A018A9"/>
    <w:rsid w:val="00A1146A"/>
    <w:rsid w:val="00A2436A"/>
    <w:rsid w:val="00A6633E"/>
    <w:rsid w:val="00A73596"/>
    <w:rsid w:val="00A80DAB"/>
    <w:rsid w:val="00A94EC0"/>
    <w:rsid w:val="00AA0CF5"/>
    <w:rsid w:val="00AA5713"/>
    <w:rsid w:val="00AC71E8"/>
    <w:rsid w:val="00AF779D"/>
    <w:rsid w:val="00B07D33"/>
    <w:rsid w:val="00B1088D"/>
    <w:rsid w:val="00B3492B"/>
    <w:rsid w:val="00B4407B"/>
    <w:rsid w:val="00B47106"/>
    <w:rsid w:val="00B54E6E"/>
    <w:rsid w:val="00B61B9B"/>
    <w:rsid w:val="00B92D16"/>
    <w:rsid w:val="00BC41E1"/>
    <w:rsid w:val="00BE6CAF"/>
    <w:rsid w:val="00BF54F2"/>
    <w:rsid w:val="00C036A6"/>
    <w:rsid w:val="00C04862"/>
    <w:rsid w:val="00C117A0"/>
    <w:rsid w:val="00C246C2"/>
    <w:rsid w:val="00C25843"/>
    <w:rsid w:val="00C37060"/>
    <w:rsid w:val="00D256D6"/>
    <w:rsid w:val="00D51885"/>
    <w:rsid w:val="00D538FC"/>
    <w:rsid w:val="00D71B6B"/>
    <w:rsid w:val="00D8249D"/>
    <w:rsid w:val="00D9637B"/>
    <w:rsid w:val="00DB6540"/>
    <w:rsid w:val="00DD6472"/>
    <w:rsid w:val="00E04064"/>
    <w:rsid w:val="00E06687"/>
    <w:rsid w:val="00E149F5"/>
    <w:rsid w:val="00E212AD"/>
    <w:rsid w:val="00E21636"/>
    <w:rsid w:val="00E22891"/>
    <w:rsid w:val="00E459CF"/>
    <w:rsid w:val="00E5360B"/>
    <w:rsid w:val="00E908BB"/>
    <w:rsid w:val="00EC457E"/>
    <w:rsid w:val="00F065DC"/>
    <w:rsid w:val="00F1163B"/>
    <w:rsid w:val="00F143C5"/>
    <w:rsid w:val="00F27095"/>
    <w:rsid w:val="00F33AEF"/>
    <w:rsid w:val="00F41281"/>
    <w:rsid w:val="00F51EC2"/>
    <w:rsid w:val="00F670E6"/>
    <w:rsid w:val="00F85AF5"/>
    <w:rsid w:val="00FB3499"/>
    <w:rsid w:val="00FD0009"/>
    <w:rsid w:val="00FE2EBC"/>
    <w:rsid w:val="00F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97E029"/>
  <w15:chartTrackingRefBased/>
  <w15:docId w15:val="{4B0E3F46-E52F-4612-B82B-93A947EA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D41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6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4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FCBC-2C1E-4C8E-B60D-2561D6C2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PATRICIA MORENO GONZALEZ</dc:creator>
  <cp:keywords/>
  <dc:description/>
  <cp:lastModifiedBy>Diego Alexander Velandia Cárdenas</cp:lastModifiedBy>
  <cp:revision>141</cp:revision>
  <dcterms:created xsi:type="dcterms:W3CDTF">2021-04-23T14:51:00Z</dcterms:created>
  <dcterms:modified xsi:type="dcterms:W3CDTF">2021-08-12T03:01:00Z</dcterms:modified>
</cp:coreProperties>
</file>