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C1" w:rsidRDefault="00180AC1">
      <w:pPr>
        <w:rPr>
          <w:b/>
        </w:rPr>
      </w:pPr>
    </w:p>
    <w:p w:rsidR="00180AC1" w:rsidRDefault="00180AC1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international communications</w:t>
      </w:r>
    </w:p>
    <w:p w:rsidR="00180AC1" w:rsidRDefault="00026893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30-</w:t>
      </w:r>
      <w:r w:rsidR="00180AC1"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day media report</w:t>
      </w: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 xml:space="preserve"> – Research article</w:t>
      </w:r>
    </w:p>
    <w:p w:rsidR="00180AC1" w:rsidRPr="00180AC1" w:rsidRDefault="00180AC1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</w:p>
    <w:p w:rsidR="00D9414E" w:rsidRPr="00450610" w:rsidRDefault="00D9414E">
      <w:pPr>
        <w:rPr>
          <w:rFonts w:ascii="Bahnschrift" w:hAnsi="Bahnschrift"/>
          <w:b/>
          <w:bCs/>
          <w:sz w:val="24"/>
          <w:szCs w:val="24"/>
          <w:lang w:val="en-US"/>
        </w:rPr>
      </w:pPr>
      <w:r w:rsidRPr="00FD3E3A">
        <w:rPr>
          <w:rFonts w:ascii="Bahnschrift" w:hAnsi="Bahnschrift"/>
          <w:b/>
          <w:sz w:val="24"/>
          <w:szCs w:val="24"/>
        </w:rPr>
        <w:t>Original paper: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450610" w:rsidRPr="00450610">
        <w:rPr>
          <w:rFonts w:ascii="Bahnschrift" w:hAnsi="Bahnschrift"/>
          <w:b/>
          <w:bCs/>
          <w:sz w:val="24"/>
          <w:szCs w:val="24"/>
          <w:lang w:val="en-US"/>
        </w:rPr>
        <w:t xml:space="preserve">Every </w:t>
      </w:r>
      <w:proofErr w:type="spellStart"/>
      <w:r w:rsidR="00450610" w:rsidRPr="00450610">
        <w:rPr>
          <w:rFonts w:ascii="Bahnschrift" w:hAnsi="Bahnschrift"/>
          <w:b/>
          <w:bCs/>
          <w:sz w:val="24"/>
          <w:szCs w:val="24"/>
          <w:lang w:val="en-US"/>
        </w:rPr>
        <w:t>subcubic</w:t>
      </w:r>
      <w:proofErr w:type="spellEnd"/>
      <w:r w:rsidR="00450610" w:rsidRPr="00450610">
        <w:rPr>
          <w:rFonts w:ascii="Bahnschrift" w:hAnsi="Bahnschrift"/>
          <w:b/>
          <w:bCs/>
          <w:sz w:val="24"/>
          <w:szCs w:val="24"/>
          <w:lang w:val="en-US"/>
        </w:rPr>
        <w:t xml:space="preserve"> multigraph is (1,27)-packing edge-colorable</w:t>
      </w:r>
    </w:p>
    <w:p w:rsidR="00D9414E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Journal: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450610">
        <w:rPr>
          <w:rFonts w:ascii="Bahnschrift" w:hAnsi="Bahnschrift"/>
          <w:sz w:val="24"/>
          <w:szCs w:val="24"/>
        </w:rPr>
        <w:t>Journal of Graph Theory</w:t>
      </w:r>
    </w:p>
    <w:p w:rsidR="00A94141" w:rsidRPr="00A94141" w:rsidRDefault="00A94141">
      <w:pPr>
        <w:rPr>
          <w:rFonts w:ascii="Bahnschrift" w:hAnsi="Bahnschrift"/>
          <w:sz w:val="24"/>
          <w:szCs w:val="24"/>
        </w:rPr>
      </w:pPr>
      <w:r w:rsidRPr="00A94141">
        <w:rPr>
          <w:rFonts w:ascii="Bahnschrift" w:hAnsi="Bahnschrift"/>
          <w:b/>
          <w:sz w:val="24"/>
          <w:szCs w:val="24"/>
        </w:rPr>
        <w:t>Authors:</w:t>
      </w:r>
      <w:r w:rsidRPr="00A94141">
        <w:rPr>
          <w:rFonts w:ascii="Bahnschrift" w:hAnsi="Bahnschrift"/>
          <w:sz w:val="24"/>
          <w:szCs w:val="24"/>
        </w:rPr>
        <w:t xml:space="preserve"> </w:t>
      </w:r>
      <w:proofErr w:type="spellStart"/>
      <w:r w:rsidR="00450610" w:rsidRPr="00450610">
        <w:rPr>
          <w:rFonts w:ascii="Bahnschrift" w:hAnsi="Bahnschrift"/>
          <w:sz w:val="24"/>
          <w:szCs w:val="24"/>
        </w:rPr>
        <w:t>Xujun</w:t>
      </w:r>
      <w:proofErr w:type="spellEnd"/>
      <w:r w:rsidR="00450610" w:rsidRPr="00450610">
        <w:rPr>
          <w:rFonts w:ascii="Bahnschrift" w:hAnsi="Bahnschrift"/>
          <w:sz w:val="24"/>
          <w:szCs w:val="24"/>
        </w:rPr>
        <w:t xml:space="preserve"> Liu, Michael Santana, Taylor Short</w:t>
      </w:r>
    </w:p>
    <w:p w:rsidR="00D9414E" w:rsidRPr="00FD3E3A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Date Published: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450610">
        <w:rPr>
          <w:rFonts w:ascii="Bahnschrift" w:hAnsi="Bahnschrift"/>
          <w:sz w:val="24"/>
          <w:szCs w:val="24"/>
        </w:rPr>
        <w:t>10 July 2023</w:t>
      </w:r>
    </w:p>
    <w:p w:rsidR="00D9414E" w:rsidRPr="00FD3E3A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DOI:</w:t>
      </w:r>
      <w:r w:rsidR="00450610" w:rsidRPr="00FD3E3A">
        <w:rPr>
          <w:rFonts w:ascii="Bahnschrift" w:hAnsi="Bahnschrift"/>
          <w:sz w:val="24"/>
          <w:szCs w:val="24"/>
        </w:rPr>
        <w:t xml:space="preserve"> </w:t>
      </w:r>
      <w:hyperlink r:id="rId8" w:history="1">
        <w:r w:rsidR="00450610" w:rsidRPr="009D2621">
          <w:rPr>
            <w:rStyle w:val="Hyperlink"/>
            <w:rFonts w:ascii="Bahnschrift" w:hAnsi="Bahnschrift"/>
            <w:sz w:val="24"/>
            <w:szCs w:val="24"/>
          </w:rPr>
          <w:t>https://onlinelibrary.wiley.com/doi/10.1002/jgt.23004</w:t>
        </w:r>
      </w:hyperlink>
      <w:r w:rsidR="00450610">
        <w:rPr>
          <w:rFonts w:ascii="Bahnschrift" w:hAnsi="Bahnschrift"/>
          <w:sz w:val="24"/>
          <w:szCs w:val="24"/>
        </w:rPr>
        <w:t xml:space="preserve"> </w:t>
      </w:r>
    </w:p>
    <w:p w:rsidR="00D9414E" w:rsidRPr="00180AC1" w:rsidRDefault="00D9414E">
      <w:pPr>
        <w:rPr>
          <w:sz w:val="24"/>
          <w:szCs w:val="24"/>
        </w:rPr>
      </w:pPr>
    </w:p>
    <w:p w:rsidR="00E22D51" w:rsidRPr="00FD3E3A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Title of press release: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450610" w:rsidRPr="00450610">
        <w:rPr>
          <w:rFonts w:ascii="Bahnschrift" w:hAnsi="Bahnschrift"/>
          <w:sz w:val="24"/>
          <w:szCs w:val="24"/>
        </w:rPr>
        <w:t xml:space="preserve">Joining the dots: Mathematicians solve hot </w:t>
      </w:r>
      <w:proofErr w:type="spellStart"/>
      <w:r w:rsidR="00450610" w:rsidRPr="00450610">
        <w:rPr>
          <w:rFonts w:ascii="Bahnschrift" w:hAnsi="Bahnschrift"/>
          <w:sz w:val="24"/>
          <w:szCs w:val="24"/>
        </w:rPr>
        <w:t>coloring</w:t>
      </w:r>
      <w:proofErr w:type="spellEnd"/>
      <w:r w:rsidR="00450610" w:rsidRPr="00450610">
        <w:rPr>
          <w:rFonts w:ascii="Bahnschrift" w:hAnsi="Bahnschrift"/>
          <w:sz w:val="24"/>
          <w:szCs w:val="24"/>
        </w:rPr>
        <w:t xml:space="preserve"> problem</w:t>
      </w:r>
    </w:p>
    <w:p w:rsidR="007079F6" w:rsidRPr="00FD3E3A" w:rsidRDefault="007079F6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Date Published: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450610">
        <w:rPr>
          <w:rFonts w:ascii="Bahnschrift" w:hAnsi="Bahnschrift"/>
          <w:sz w:val="24"/>
          <w:szCs w:val="24"/>
        </w:rPr>
        <w:t>15 September 2023</w:t>
      </w:r>
    </w:p>
    <w:p w:rsidR="00D9414E" w:rsidRPr="00FD3E3A" w:rsidRDefault="00E22D51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URL:</w:t>
      </w:r>
      <w:r w:rsidR="00450610">
        <w:t xml:space="preserve"> </w:t>
      </w:r>
      <w:r w:rsidR="00450610" w:rsidRPr="00FD3E3A">
        <w:rPr>
          <w:rFonts w:ascii="Bahnschrift" w:hAnsi="Bahnschrift"/>
          <w:sz w:val="24"/>
          <w:szCs w:val="24"/>
        </w:rPr>
        <w:t xml:space="preserve"> </w:t>
      </w:r>
      <w:hyperlink r:id="rId9" w:history="1">
        <w:r w:rsidR="00450610" w:rsidRPr="009D2621">
          <w:rPr>
            <w:rStyle w:val="Hyperlink"/>
            <w:rFonts w:ascii="Bahnschrift" w:hAnsi="Bahnschrift"/>
            <w:sz w:val="24"/>
            <w:szCs w:val="24"/>
          </w:rPr>
          <w:t>https://www.xjtlu.edu.cn/en/news/2023/09/joining-the-dots-mathematicians-solve-hot-coloring-problem</w:t>
        </w:r>
      </w:hyperlink>
      <w:r w:rsidR="00450610">
        <w:rPr>
          <w:rFonts w:ascii="Bahnschrift" w:hAnsi="Bahnschrift"/>
          <w:sz w:val="24"/>
          <w:szCs w:val="24"/>
        </w:rPr>
        <w:t xml:space="preserve"> </w:t>
      </w:r>
    </w:p>
    <w:p w:rsidR="00026893" w:rsidRPr="00026893" w:rsidRDefault="00026893" w:rsidP="00633006">
      <w:pPr>
        <w:rPr>
          <w:rFonts w:ascii="Bahnschrift" w:hAnsi="Bahnschrift"/>
          <w:b/>
          <w:sz w:val="10"/>
          <w:szCs w:val="24"/>
        </w:rPr>
      </w:pPr>
    </w:p>
    <w:p w:rsidR="00026893" w:rsidRDefault="00633006" w:rsidP="00633006">
      <w:pPr>
        <w:rPr>
          <w:rFonts w:ascii="Bahnschrift" w:hAnsi="Bahnschrift"/>
          <w:b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Total</w:t>
      </w:r>
      <w:r w:rsidR="0077024D">
        <w:rPr>
          <w:rFonts w:ascii="Bahnschrift" w:hAnsi="Bahnschrift"/>
          <w:b/>
          <w:sz w:val="24"/>
          <w:szCs w:val="24"/>
        </w:rPr>
        <w:t xml:space="preserve"> number of unique</w:t>
      </w:r>
      <w:r w:rsidR="002E7A31">
        <w:rPr>
          <w:rFonts w:ascii="Bahnschrift" w:hAnsi="Bahnschrift"/>
          <w:b/>
          <w:sz w:val="24"/>
          <w:szCs w:val="24"/>
        </w:rPr>
        <w:t xml:space="preserve"> readers</w:t>
      </w:r>
      <w:r w:rsidRPr="00FD3E3A">
        <w:rPr>
          <w:rFonts w:ascii="Bahnschrift" w:hAnsi="Bahnschrift"/>
          <w:b/>
          <w:sz w:val="24"/>
          <w:szCs w:val="24"/>
        </w:rPr>
        <w:t xml:space="preserve"> of</w:t>
      </w:r>
      <w:r w:rsidR="00FD3E3A">
        <w:rPr>
          <w:rFonts w:ascii="Bahnschrift" w:hAnsi="Bahnschrift"/>
          <w:b/>
          <w:sz w:val="24"/>
          <w:szCs w:val="24"/>
        </w:rPr>
        <w:t xml:space="preserve"> the</w:t>
      </w:r>
      <w:r w:rsidRPr="00FD3E3A">
        <w:rPr>
          <w:rFonts w:ascii="Bahnschrift" w:hAnsi="Bahnschrift"/>
          <w:b/>
          <w:sz w:val="24"/>
          <w:szCs w:val="24"/>
        </w:rPr>
        <w:t xml:space="preserve"> media outlets that picked up the article</w:t>
      </w:r>
      <w:r w:rsidR="0077024D">
        <w:rPr>
          <w:rFonts w:ascii="Bahnschrift" w:hAnsi="Bahnschrift"/>
          <w:b/>
          <w:sz w:val="24"/>
          <w:szCs w:val="24"/>
        </w:rPr>
        <w:t xml:space="preserve"> per month</w:t>
      </w:r>
      <w:r w:rsidRPr="00FD3E3A">
        <w:rPr>
          <w:rFonts w:ascii="Bahnschrift" w:hAnsi="Bahnschrift"/>
          <w:b/>
          <w:sz w:val="24"/>
          <w:szCs w:val="24"/>
        </w:rPr>
        <w:t xml:space="preserve">: </w:t>
      </w:r>
    </w:p>
    <w:p w:rsidR="00450610" w:rsidRPr="00D3164C" w:rsidRDefault="00450610" w:rsidP="00450610">
      <w:pPr>
        <w:spacing w:after="0" w:line="240" w:lineRule="auto"/>
        <w:rPr>
          <w:rFonts w:ascii="Bahnschrift Light" w:eastAsia="Times New Roman" w:hAnsi="Bahnschrift Light" w:cs="Calibri"/>
          <w:color w:val="000000"/>
          <w:sz w:val="24"/>
          <w:szCs w:val="24"/>
          <w:lang w:val="en-US"/>
        </w:rPr>
      </w:pPr>
      <w:r w:rsidRPr="00450610">
        <w:rPr>
          <w:rFonts w:ascii="Bahnschrift Light" w:eastAsia="Times New Roman" w:hAnsi="Bahnschrift Light" w:cs="Calibri"/>
          <w:color w:val="000000"/>
          <w:sz w:val="24"/>
          <w:szCs w:val="24"/>
          <w:lang w:val="en-US"/>
        </w:rPr>
        <w:t>8272330</w:t>
      </w:r>
    </w:p>
    <w:p w:rsidR="00026893" w:rsidRPr="00026893" w:rsidRDefault="00026893" w:rsidP="00026893">
      <w:pPr>
        <w:spacing w:line="240" w:lineRule="auto"/>
        <w:rPr>
          <w:rFonts w:ascii="Bahnschrift" w:hAnsi="Bahnschrift"/>
          <w:b/>
          <w:sz w:val="6"/>
        </w:rPr>
      </w:pPr>
    </w:p>
    <w:p w:rsidR="00026893" w:rsidRDefault="00026893" w:rsidP="00026893">
      <w:pPr>
        <w:rPr>
          <w:rFonts w:ascii="Bahnschrift" w:hAnsi="Bahnschrift"/>
          <w:b/>
          <w:sz w:val="24"/>
        </w:rPr>
      </w:pPr>
      <w:r w:rsidRPr="00FD3E3A"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F0A5C0" wp14:editId="5313A139">
            <wp:simplePos x="0" y="0"/>
            <wp:positionH relativeFrom="margin">
              <wp:posOffset>5080</wp:posOffset>
            </wp:positionH>
            <wp:positionV relativeFrom="paragraph">
              <wp:posOffset>299720</wp:posOffset>
            </wp:positionV>
            <wp:extent cx="1782445" cy="17526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D3E3A">
        <w:rPr>
          <w:rFonts w:ascii="Bahnschrift" w:hAnsi="Bahnschrift"/>
          <w:b/>
          <w:sz w:val="24"/>
        </w:rPr>
        <w:t>Altmetric</w:t>
      </w:r>
      <w:proofErr w:type="spellEnd"/>
      <w:r w:rsidRPr="00FD3E3A">
        <w:rPr>
          <w:rFonts w:ascii="Bahnschrift" w:hAnsi="Bahnschrift"/>
          <w:b/>
          <w:sz w:val="24"/>
        </w:rPr>
        <w:t xml:space="preserve"> score</w:t>
      </w:r>
    </w:p>
    <w:p w:rsidR="00026893" w:rsidRPr="00FD3E3A" w:rsidRDefault="00026893" w:rsidP="00026893">
      <w:pPr>
        <w:rPr>
          <w:rFonts w:ascii="Bahnschrift" w:hAnsi="Bahnschrift"/>
          <w:b/>
          <w:sz w:val="24"/>
        </w:rPr>
      </w:pPr>
    </w:p>
    <w:p w:rsidR="00026893" w:rsidRPr="00026893" w:rsidRDefault="00026893" w:rsidP="00026893">
      <w:pPr>
        <w:rPr>
          <w:rFonts w:ascii="Bahnschrift" w:hAnsi="Bahnschrift"/>
          <w:b/>
          <w:lang w:val="en-US"/>
        </w:rPr>
      </w:pPr>
      <w:r w:rsidRPr="00026893">
        <w:rPr>
          <w:rFonts w:ascii="Bahnschrift" w:hAnsi="Bahnschrift"/>
          <w:lang w:val="en-US"/>
        </w:rPr>
        <w:t xml:space="preserve"> </w:t>
      </w:r>
      <w:r w:rsidR="00450610">
        <w:rPr>
          <w:rFonts w:ascii="Bahnschrift" w:hAnsi="Bahnschrift"/>
          <w:b/>
          <w:sz w:val="24"/>
          <w:lang w:val="en-US"/>
        </w:rPr>
        <w:t>In the top 5.8</w:t>
      </w:r>
      <w:r w:rsidRPr="00026893">
        <w:rPr>
          <w:rFonts w:ascii="Bahnschrift" w:hAnsi="Bahnschrift"/>
          <w:b/>
          <w:sz w:val="24"/>
          <w:lang w:val="en-US"/>
        </w:rPr>
        <w:t xml:space="preserve">% of all research outputs scored by </w:t>
      </w:r>
      <w:proofErr w:type="spellStart"/>
      <w:r w:rsidRPr="00026893">
        <w:rPr>
          <w:rFonts w:ascii="Bahnschrift" w:hAnsi="Bahnschrift"/>
          <w:b/>
          <w:sz w:val="24"/>
          <w:lang w:val="en-US"/>
        </w:rPr>
        <w:t>Altmetric</w:t>
      </w:r>
      <w:proofErr w:type="spellEnd"/>
      <w:r w:rsidRPr="00026893">
        <w:rPr>
          <w:rFonts w:ascii="Bahnschrift" w:hAnsi="Bahnschrift"/>
          <w:b/>
          <w:sz w:val="24"/>
          <w:lang w:val="en-US"/>
        </w:rPr>
        <w:t>.</w:t>
      </w:r>
    </w:p>
    <w:p w:rsidR="00026893" w:rsidRPr="004F48BF" w:rsidRDefault="00026893" w:rsidP="00026893">
      <w:pPr>
        <w:rPr>
          <w:rFonts w:ascii="Bahnschrift" w:hAnsi="Bahnschrift"/>
          <w:sz w:val="20"/>
          <w:lang w:val="en-US"/>
        </w:rPr>
      </w:pPr>
    </w:p>
    <w:p w:rsidR="00026893" w:rsidRPr="004F48BF" w:rsidRDefault="00026893" w:rsidP="00026893">
      <w:pPr>
        <w:rPr>
          <w:rFonts w:ascii="Bahnschrift" w:hAnsi="Bahnschrift"/>
          <w:sz w:val="20"/>
          <w:lang w:val="en-US"/>
        </w:rPr>
      </w:pPr>
      <w:r w:rsidRPr="004F48BF">
        <w:rPr>
          <w:rFonts w:ascii="Bahnschrift" w:hAnsi="Bahnschrift"/>
          <w:sz w:val="20"/>
          <w:lang w:val="en-US"/>
        </w:rPr>
        <w:t xml:space="preserve">The </w:t>
      </w:r>
      <w:proofErr w:type="spellStart"/>
      <w:r w:rsidRPr="004F48BF">
        <w:rPr>
          <w:rFonts w:ascii="Bahnschrift" w:hAnsi="Bahnschrift"/>
          <w:sz w:val="20"/>
          <w:lang w:val="en-US"/>
        </w:rPr>
        <w:t>Altmetric</w:t>
      </w:r>
      <w:proofErr w:type="spellEnd"/>
      <w:r w:rsidRPr="004F48BF">
        <w:rPr>
          <w:rFonts w:ascii="Bahnschrift" w:hAnsi="Bahnschrift"/>
          <w:sz w:val="20"/>
          <w:lang w:val="en-US"/>
        </w:rPr>
        <w:t xml:space="preserve"> Attention Score for a research output provides an indicator of the amount of attention that it has received. The score is derived from an automated algorithm, and represents a weighted count of the amount of attention we've picked up for a research output.</w:t>
      </w:r>
    </w:p>
    <w:p w:rsidR="00026893" w:rsidRDefault="00026893" w:rsidP="00026893">
      <w:pPr>
        <w:rPr>
          <w:rFonts w:ascii="Bahnschrift" w:hAnsi="Bahnschrift"/>
          <w:b/>
          <w:sz w:val="6"/>
        </w:rPr>
      </w:pPr>
    </w:p>
    <w:p w:rsidR="00026893" w:rsidRPr="00026893" w:rsidRDefault="00026893" w:rsidP="00026893">
      <w:pPr>
        <w:rPr>
          <w:rFonts w:ascii="Bahnschrift" w:hAnsi="Bahnschrift"/>
          <w:b/>
          <w:sz w:val="6"/>
        </w:rPr>
      </w:pPr>
    </w:p>
    <w:p w:rsidR="00D3164C" w:rsidRDefault="00D3164C" w:rsidP="00026893">
      <w:pPr>
        <w:rPr>
          <w:rFonts w:ascii="Bahnschrift" w:hAnsi="Bahnschrift"/>
          <w:b/>
          <w:sz w:val="24"/>
        </w:rPr>
      </w:pPr>
    </w:p>
    <w:p w:rsidR="00026893" w:rsidRDefault="00026893" w:rsidP="00026893">
      <w:pPr>
        <w:rPr>
          <w:rFonts w:ascii="Bahnschrift" w:hAnsi="Bahnschrift"/>
          <w:sz w:val="24"/>
        </w:rPr>
      </w:pPr>
      <w:bookmarkStart w:id="0" w:name="_GoBack"/>
      <w:bookmarkEnd w:id="0"/>
      <w:r w:rsidRPr="00FD3E3A">
        <w:rPr>
          <w:rFonts w:ascii="Bahnschrift" w:hAnsi="Bahnschrift"/>
          <w:b/>
          <w:sz w:val="24"/>
        </w:rPr>
        <w:t>Number of media outlets that picked up the media release (excluding Chinese outlets):</w:t>
      </w:r>
      <w:r w:rsidRPr="00FD3E3A">
        <w:rPr>
          <w:rFonts w:ascii="Bahnschrift" w:hAnsi="Bahnschrift"/>
          <w:sz w:val="24"/>
        </w:rPr>
        <w:t xml:space="preserve"> </w:t>
      </w:r>
    </w:p>
    <w:p w:rsidR="00026893" w:rsidRDefault="00450610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color w:val="002060"/>
          <w:sz w:val="24"/>
        </w:rPr>
        <w:t>7</w:t>
      </w:r>
    </w:p>
    <w:p w:rsidR="00C50107" w:rsidRPr="00FD3E3A" w:rsidRDefault="00026893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lastRenderedPageBreak/>
        <w:t xml:space="preserve">Number of </w:t>
      </w:r>
      <w:r w:rsidR="00C50107" w:rsidRPr="00FD3E3A">
        <w:rPr>
          <w:rFonts w:ascii="Bahnschrift" w:hAnsi="Bahnschrift"/>
          <w:b/>
          <w:sz w:val="24"/>
        </w:rPr>
        <w:t xml:space="preserve">views </w:t>
      </w:r>
      <w:r>
        <w:rPr>
          <w:rFonts w:ascii="Bahnschrift" w:hAnsi="Bahnschrift"/>
          <w:b/>
          <w:sz w:val="24"/>
        </w:rPr>
        <w:t xml:space="preserve">of media release </w:t>
      </w:r>
      <w:r w:rsidR="00C50107" w:rsidRPr="00FD3E3A">
        <w:rPr>
          <w:rFonts w:ascii="Bahnschrift" w:hAnsi="Bahnschrift"/>
          <w:b/>
          <w:sz w:val="24"/>
        </w:rPr>
        <w:t xml:space="preserve">per site </w:t>
      </w:r>
      <w:r>
        <w:rPr>
          <w:rFonts w:ascii="Bahnschrift" w:hAnsi="Bahnschrift"/>
          <w:b/>
          <w:sz w:val="24"/>
        </w:rPr>
        <w:t>where it was uploaded</w:t>
      </w:r>
      <w:r w:rsidR="00C50107" w:rsidRPr="00FD3E3A">
        <w:rPr>
          <w:rFonts w:ascii="Bahnschrift" w:hAnsi="Bahnschrift"/>
          <w:b/>
          <w:sz w:val="24"/>
        </w:rPr>
        <w:t xml:space="preserve">: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0107" w:rsidRPr="00FD3E3A" w:rsidTr="00C50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0107" w:rsidRPr="00FD3E3A" w:rsidRDefault="00C50107">
            <w:pPr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Website</w:t>
            </w:r>
          </w:p>
        </w:tc>
        <w:tc>
          <w:tcPr>
            <w:tcW w:w="3117" w:type="dxa"/>
          </w:tcPr>
          <w:p w:rsidR="00C50107" w:rsidRPr="00FD3E3A" w:rsidRDefault="00C50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Views</w:t>
            </w:r>
          </w:p>
        </w:tc>
        <w:tc>
          <w:tcPr>
            <w:tcW w:w="3117" w:type="dxa"/>
          </w:tcPr>
          <w:p w:rsidR="00C50107" w:rsidRPr="00FD3E3A" w:rsidRDefault="00C50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Social media shares</w:t>
            </w:r>
          </w:p>
        </w:tc>
      </w:tr>
      <w:tr w:rsidR="00C50107" w:rsidRPr="00FD3E3A" w:rsidTr="00C5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50107" w:rsidRPr="00FD3E3A" w:rsidRDefault="00450610">
            <w:pPr>
              <w:rPr>
                <w:rFonts w:ascii="Bahnschrift" w:hAnsi="Bahnschrift"/>
                <w:sz w:val="24"/>
              </w:rPr>
            </w:pPr>
            <w:proofErr w:type="spellStart"/>
            <w:r w:rsidRPr="00FD3E3A">
              <w:rPr>
                <w:rFonts w:ascii="Bahnschrift" w:hAnsi="Bahnschrift"/>
                <w:sz w:val="24"/>
              </w:rPr>
              <w:t>ScienceX</w:t>
            </w:r>
            <w:proofErr w:type="spellEnd"/>
          </w:p>
        </w:tc>
        <w:tc>
          <w:tcPr>
            <w:tcW w:w="3117" w:type="dxa"/>
          </w:tcPr>
          <w:p w:rsidR="00C50107" w:rsidRPr="00FD3E3A" w:rsidRDefault="0045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10750</w:t>
            </w:r>
          </w:p>
        </w:tc>
        <w:tc>
          <w:tcPr>
            <w:tcW w:w="3117" w:type="dxa"/>
          </w:tcPr>
          <w:p w:rsidR="00C50107" w:rsidRPr="00FD3E3A" w:rsidRDefault="0045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28</w:t>
            </w:r>
          </w:p>
        </w:tc>
      </w:tr>
      <w:tr w:rsidR="00450610" w:rsidRPr="00FD3E3A" w:rsidTr="00C5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0610" w:rsidRPr="00FD3E3A" w:rsidRDefault="00450610" w:rsidP="00450610">
            <w:pPr>
              <w:rPr>
                <w:rFonts w:ascii="Bahnschrift" w:hAnsi="Bahnschrift"/>
                <w:sz w:val="24"/>
              </w:rPr>
            </w:pPr>
            <w:proofErr w:type="spellStart"/>
            <w:r>
              <w:rPr>
                <w:rFonts w:ascii="Bahnschrift" w:hAnsi="Bahnschrift"/>
                <w:sz w:val="24"/>
              </w:rPr>
              <w:t>EurekAlert</w:t>
            </w:r>
            <w:proofErr w:type="spellEnd"/>
          </w:p>
        </w:tc>
        <w:tc>
          <w:tcPr>
            <w:tcW w:w="3117" w:type="dxa"/>
          </w:tcPr>
          <w:p w:rsidR="00450610" w:rsidRPr="00FD3E3A" w:rsidRDefault="00450610" w:rsidP="00450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606</w:t>
            </w:r>
          </w:p>
        </w:tc>
        <w:tc>
          <w:tcPr>
            <w:tcW w:w="3117" w:type="dxa"/>
          </w:tcPr>
          <w:p w:rsidR="00450610" w:rsidRPr="00FD3E3A" w:rsidRDefault="00450610" w:rsidP="00450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n/a</w:t>
            </w:r>
          </w:p>
        </w:tc>
      </w:tr>
      <w:tr w:rsidR="00450610" w:rsidRPr="00FD3E3A" w:rsidTr="00C5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0610" w:rsidRPr="00FD3E3A" w:rsidRDefault="00450610" w:rsidP="00450610">
            <w:pPr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Alpha Galileo</w:t>
            </w:r>
          </w:p>
        </w:tc>
        <w:tc>
          <w:tcPr>
            <w:tcW w:w="3117" w:type="dxa"/>
          </w:tcPr>
          <w:p w:rsidR="00450610" w:rsidRPr="00FD3E3A" w:rsidRDefault="00450610" w:rsidP="0045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377</w:t>
            </w:r>
            <w:r w:rsidRPr="00FD3E3A">
              <w:rPr>
                <w:rFonts w:ascii="Bahnschrift" w:hAnsi="Bahnschrift"/>
                <w:sz w:val="24"/>
              </w:rPr>
              <w:t xml:space="preserve"> (journalists)</w:t>
            </w:r>
          </w:p>
        </w:tc>
        <w:tc>
          <w:tcPr>
            <w:tcW w:w="3117" w:type="dxa"/>
          </w:tcPr>
          <w:p w:rsidR="00450610" w:rsidRPr="00FD3E3A" w:rsidRDefault="00450610" w:rsidP="0045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n/a</w:t>
            </w:r>
          </w:p>
        </w:tc>
      </w:tr>
    </w:tbl>
    <w:p w:rsidR="00D9414E" w:rsidRPr="00D3164C" w:rsidRDefault="00D9414E" w:rsidP="004F48BF"/>
    <w:p w:rsidR="004F48BF" w:rsidRDefault="004F48BF" w:rsidP="004F48BF"/>
    <w:p w:rsid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Bahnschrift" w:hAnsi="Bahnschrift"/>
          <w:sz w:val="24"/>
        </w:rPr>
        <w:t>Thanks for your support and we look forward to working with you again!</w:t>
      </w:r>
    </w:p>
    <w:p w:rsidR="004F48BF" w:rsidRDefault="004F48BF" w:rsidP="004F48BF">
      <w:pPr>
        <w:jc w:val="center"/>
        <w:rPr>
          <w:rFonts w:ascii="Bahnschrift" w:hAnsi="Bahnschrift"/>
          <w:sz w:val="24"/>
        </w:rPr>
      </w:pPr>
    </w:p>
    <w:p w:rsidR="00E903E7" w:rsidRP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Wingdings" w:hAnsi="Wingdings"/>
          <w:sz w:val="24"/>
        </w:rPr>
        <w:t></w:t>
      </w:r>
      <w:r w:rsidRPr="004F48BF">
        <w:rPr>
          <w:rFonts w:ascii="Bahnschrift" w:hAnsi="Bahnschrift"/>
          <w:sz w:val="24"/>
        </w:rPr>
        <w:t>The International Communications Team</w:t>
      </w:r>
      <w:r w:rsidRPr="004F48BF">
        <w:rPr>
          <w:rFonts w:ascii="Wingdings" w:hAnsi="Wingdings"/>
          <w:sz w:val="24"/>
        </w:rPr>
        <w:t></w:t>
      </w:r>
    </w:p>
    <w:sectPr w:rsidR="00E903E7" w:rsidRPr="004F48BF" w:rsidSect="00180AC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61B" w:rsidRDefault="0081061B" w:rsidP="00180AC1">
      <w:pPr>
        <w:spacing w:after="0" w:line="240" w:lineRule="auto"/>
      </w:pPr>
      <w:r>
        <w:separator/>
      </w:r>
    </w:p>
  </w:endnote>
  <w:endnote w:type="continuationSeparator" w:id="0">
    <w:p w:rsidR="0081061B" w:rsidRDefault="0081061B" w:rsidP="0018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-Bold">
    <w:panose1 w:val="00000000000000000000"/>
    <w:charset w:val="00"/>
    <w:family w:val="roman"/>
    <w:notTrueType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 w:rsidP="00180AC1">
    <w:pPr>
      <w:pStyle w:val="Footer"/>
      <w:ind w:right="121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1870B" wp14:editId="4EC66107">
              <wp:simplePos x="0" y="0"/>
              <wp:positionH relativeFrom="column">
                <wp:posOffset>-1466850</wp:posOffset>
              </wp:positionH>
              <wp:positionV relativeFrom="paragraph">
                <wp:posOffset>314325</wp:posOffset>
              </wp:positionV>
              <wp:extent cx="9262533" cy="214833"/>
              <wp:effectExtent l="57150" t="19050" r="72390" b="90170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262533" cy="214833"/>
                      </a:xfrm>
                      <a:prstGeom prst="rect">
                        <a:avLst/>
                      </a:prstGeom>
                      <a:gradFill rotWithShape="1">
                        <a:gsLst>
                          <a:gs pos="100000">
                            <a:srgbClr val="CE57C1"/>
                          </a:gs>
                          <a:gs pos="27000">
                            <a:srgbClr val="000044"/>
                          </a:gs>
                        </a:gsLst>
                        <a:lin ang="13500000" scaled="0"/>
                      </a:gradFill>
                      <a:ln w="9525" cap="flat" cmpd="sng" algn="ctr">
                        <a:solidFill>
                          <a:srgbClr val="DDDDD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3702B133" id="Rectangle 6" o:spid="_x0000_s1026" style="position:absolute;margin-left:-115.5pt;margin-top:24.75pt;width:729.35pt;height:16.9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" fillcolor="#004" strokecolor="#d8d8d8">
              <v:fill color2="#ce57c1" rotate="t" angle="225" colors="0 #004;17695f #004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61B" w:rsidRDefault="0081061B" w:rsidP="00180AC1">
      <w:pPr>
        <w:spacing w:after="0" w:line="240" w:lineRule="auto"/>
      </w:pPr>
      <w:r>
        <w:separator/>
      </w:r>
    </w:p>
  </w:footnote>
  <w:footnote w:type="continuationSeparator" w:id="0">
    <w:p w:rsidR="0081061B" w:rsidRDefault="0081061B" w:rsidP="0018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>
    <w:pPr>
      <w:pStyle w:val="Header"/>
    </w:pPr>
    <w:r>
      <w:rPr>
        <w:noProof/>
        <w:lang w:val="en-US"/>
      </w:rPr>
      <w:drawing>
        <wp:inline distT="0" distB="0" distL="0" distR="0" wp14:anchorId="30158B7C" wp14:editId="4594EF4F">
          <wp:extent cx="2066925" cy="442122"/>
          <wp:effectExtent l="0" t="0" r="0" b="0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686" cy="47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631"/>
    <w:multiLevelType w:val="hybridMultilevel"/>
    <w:tmpl w:val="832EEAA0"/>
    <w:lvl w:ilvl="0" w:tplc="9BF0AC90">
      <w:start w:val="30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457"/>
    <w:multiLevelType w:val="hybridMultilevel"/>
    <w:tmpl w:val="D7E05E10"/>
    <w:lvl w:ilvl="0" w:tplc="0B8413B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126"/>
    <w:multiLevelType w:val="hybridMultilevel"/>
    <w:tmpl w:val="A874F512"/>
    <w:lvl w:ilvl="0" w:tplc="C144089C">
      <w:start w:val="30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FD5247"/>
    <w:multiLevelType w:val="hybridMultilevel"/>
    <w:tmpl w:val="72164C5A"/>
    <w:lvl w:ilvl="0" w:tplc="1D8AB2B6">
      <w:start w:val="30"/>
      <w:numFmt w:val="bullet"/>
      <w:lvlText w:val="-"/>
      <w:lvlJc w:val="left"/>
      <w:pPr>
        <w:ind w:left="25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07254"/>
    <w:multiLevelType w:val="hybridMultilevel"/>
    <w:tmpl w:val="A5FAFCC2"/>
    <w:lvl w:ilvl="0" w:tplc="5B78679E">
      <w:start w:val="30"/>
      <w:numFmt w:val="bullet"/>
      <w:lvlText w:val="-"/>
      <w:lvlJc w:val="left"/>
      <w:pPr>
        <w:ind w:left="288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2A"/>
    <w:rsid w:val="00026893"/>
    <w:rsid w:val="00042EA5"/>
    <w:rsid w:val="000C1205"/>
    <w:rsid w:val="0013270C"/>
    <w:rsid w:val="00180AC1"/>
    <w:rsid w:val="00235C2A"/>
    <w:rsid w:val="002E7A31"/>
    <w:rsid w:val="00450610"/>
    <w:rsid w:val="00471B48"/>
    <w:rsid w:val="004F48BF"/>
    <w:rsid w:val="005631EE"/>
    <w:rsid w:val="00633006"/>
    <w:rsid w:val="006409D2"/>
    <w:rsid w:val="00650258"/>
    <w:rsid w:val="00676961"/>
    <w:rsid w:val="007079F6"/>
    <w:rsid w:val="0077024D"/>
    <w:rsid w:val="00782ECE"/>
    <w:rsid w:val="0081061B"/>
    <w:rsid w:val="00890EC2"/>
    <w:rsid w:val="0093746E"/>
    <w:rsid w:val="009502C8"/>
    <w:rsid w:val="00A94141"/>
    <w:rsid w:val="00C10884"/>
    <w:rsid w:val="00C50107"/>
    <w:rsid w:val="00D3164C"/>
    <w:rsid w:val="00D9414E"/>
    <w:rsid w:val="00E22D51"/>
    <w:rsid w:val="00E903E7"/>
    <w:rsid w:val="00F67283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26218"/>
  <w15:chartTrackingRefBased/>
  <w15:docId w15:val="{3AB3558C-0F47-43CF-9771-0F3D760C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C1"/>
    <w:rPr>
      <w:lang w:val="en-GB"/>
    </w:rPr>
  </w:style>
  <w:style w:type="paragraph" w:styleId="ListParagraph">
    <w:name w:val="List Paragraph"/>
    <w:basedOn w:val="Normal"/>
    <w:uiPriority w:val="34"/>
    <w:qFormat/>
    <w:rsid w:val="00180A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6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10.1002/jgt.2300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xjtlu.edu.cn/en/news/2023/09/joining-the-dots-mathematicians-solve-hot-coloring-proble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4F56-8EAD-4C36-8B99-4618B52E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WIN-SCCMPRI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Emma Diamond</dc:creator>
  <cp:keywords/>
  <dc:description/>
  <cp:lastModifiedBy>Catherine Emma Diamond</cp:lastModifiedBy>
  <cp:revision>3</cp:revision>
  <dcterms:created xsi:type="dcterms:W3CDTF">2023-10-17T08:15:00Z</dcterms:created>
  <dcterms:modified xsi:type="dcterms:W3CDTF">2023-10-17T08:26:00Z</dcterms:modified>
</cp:coreProperties>
</file>