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1"/>
        <w:gridCol w:w="2879"/>
        <w:gridCol w:w="2342"/>
        <w:gridCol w:w="2203"/>
      </w:tblGrid>
      <w:tr w:rsidR="007A4374" w14:paraId="32D2197A" w14:textId="77777777" w:rsidTr="007A4374">
        <w:tc>
          <w:tcPr>
            <w:tcW w:w="2336" w:type="dxa"/>
          </w:tcPr>
          <w:p w14:paraId="7B88404D" w14:textId="639A1998" w:rsidR="007A4374" w:rsidRPr="007A4374" w:rsidRDefault="007A4374">
            <w:r>
              <w:t>№</w:t>
            </w:r>
          </w:p>
        </w:tc>
        <w:tc>
          <w:tcPr>
            <w:tcW w:w="2336" w:type="dxa"/>
          </w:tcPr>
          <w:p w14:paraId="3517C7A1" w14:textId="500CEFE7" w:rsidR="007A4374" w:rsidRDefault="007A4374">
            <w:r>
              <w:t>Термин</w:t>
            </w:r>
          </w:p>
        </w:tc>
        <w:tc>
          <w:tcPr>
            <w:tcW w:w="2336" w:type="dxa"/>
          </w:tcPr>
          <w:p w14:paraId="6C52367D" w14:textId="5C3C457A" w:rsidR="007A4374" w:rsidRDefault="007A4374">
            <w:r>
              <w:t>Определение</w:t>
            </w:r>
          </w:p>
        </w:tc>
        <w:tc>
          <w:tcPr>
            <w:tcW w:w="2337" w:type="dxa"/>
          </w:tcPr>
          <w:p w14:paraId="290152CC" w14:textId="7F3613C9" w:rsidR="007A4374" w:rsidRDefault="007A4374">
            <w:r>
              <w:t>Примечание</w:t>
            </w:r>
          </w:p>
        </w:tc>
      </w:tr>
      <w:tr w:rsidR="007A4374" w14:paraId="2FF50A86" w14:textId="77777777" w:rsidTr="007A4374">
        <w:tc>
          <w:tcPr>
            <w:tcW w:w="2336" w:type="dxa"/>
          </w:tcPr>
          <w:p w14:paraId="41282E18" w14:textId="2898FC60" w:rsidR="007A4374" w:rsidRDefault="007A4374">
            <w:r>
              <w:t>1</w:t>
            </w:r>
          </w:p>
        </w:tc>
        <w:tc>
          <w:tcPr>
            <w:tcW w:w="2336" w:type="dxa"/>
          </w:tcPr>
          <w:p w14:paraId="3D7D2137" w14:textId="2401141A" w:rsidR="007A4374" w:rsidRPr="00BC1EC5" w:rsidRDefault="007A4374">
            <w:pPr>
              <w:rPr>
                <w:b/>
              </w:rPr>
            </w:pPr>
            <w:r w:rsidRPr="00BC1EC5">
              <w:rPr>
                <w:rFonts w:ascii="Arial" w:hAnsi="Arial" w:cs="Arial"/>
                <w:b/>
                <w:color w:val="444444"/>
                <w:shd w:val="clear" w:color="auto" w:fill="FFFFFF"/>
              </w:rPr>
              <w:t>Тренинг</w:t>
            </w:r>
          </w:p>
        </w:tc>
        <w:tc>
          <w:tcPr>
            <w:tcW w:w="2336" w:type="dxa"/>
          </w:tcPr>
          <w:p w14:paraId="0470144D" w14:textId="41348A3F" w:rsidR="007A4374" w:rsidRDefault="007A4374">
            <w:r>
              <w:rPr>
                <w:rFonts w:ascii="Arial" w:hAnsi="Arial" w:cs="Arial"/>
                <w:color w:val="444444"/>
                <w:shd w:val="clear" w:color="auto" w:fill="FFFFFF"/>
              </w:rPr>
              <w:t>обучение на практических занятиях или в приближенных к реальным условиях.</w:t>
            </w:r>
          </w:p>
        </w:tc>
        <w:tc>
          <w:tcPr>
            <w:tcW w:w="2337" w:type="dxa"/>
          </w:tcPr>
          <w:p w14:paraId="5AC76EDD" w14:textId="77777777" w:rsidR="007A4374" w:rsidRDefault="007A4374"/>
        </w:tc>
      </w:tr>
      <w:tr w:rsidR="007A4374" w14:paraId="4B20F62C" w14:textId="77777777" w:rsidTr="007A4374">
        <w:tc>
          <w:tcPr>
            <w:tcW w:w="2336" w:type="dxa"/>
          </w:tcPr>
          <w:p w14:paraId="66A18248" w14:textId="1016A7AD" w:rsidR="007A4374" w:rsidRDefault="007A4374">
            <w:r>
              <w:t>2</w:t>
            </w:r>
          </w:p>
        </w:tc>
        <w:tc>
          <w:tcPr>
            <w:tcW w:w="2336" w:type="dxa"/>
          </w:tcPr>
          <w:p w14:paraId="5D0FE88F" w14:textId="48F1A096" w:rsidR="007A4374" w:rsidRDefault="007A4374"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актив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 (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asset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>)</w:t>
            </w:r>
          </w:p>
        </w:tc>
        <w:tc>
          <w:tcPr>
            <w:tcW w:w="2336" w:type="dxa"/>
          </w:tcPr>
          <w:p w14:paraId="46599F13" w14:textId="7A79B172" w:rsidR="007A4374" w:rsidRDefault="007A4374" w:rsidP="007A4374">
            <w:r>
              <w:rPr>
                <w:rFonts w:ascii="Arial" w:hAnsi="Arial" w:cs="Arial"/>
                <w:color w:val="444444"/>
                <w:shd w:val="clear" w:color="auto" w:fill="FFFFFF"/>
              </w:rPr>
              <w:t> Все, что имеет ценность для организации.</w:t>
            </w:r>
          </w:p>
        </w:tc>
        <w:tc>
          <w:tcPr>
            <w:tcW w:w="2337" w:type="dxa"/>
          </w:tcPr>
          <w:p w14:paraId="77386FAB" w14:textId="6954D344" w:rsidR="007A4374" w:rsidRDefault="007A4374">
            <w:r>
              <w:rPr>
                <w:rFonts w:ascii="Arial" w:hAnsi="Arial" w:cs="Arial"/>
                <w:color w:val="444444"/>
                <w:shd w:val="clear" w:color="auto" w:fill="FFFFFF"/>
              </w:rPr>
              <w:t>[ИСО/МЭК 13335-1:2004]</w:t>
            </w:r>
          </w:p>
        </w:tc>
      </w:tr>
      <w:tr w:rsidR="007A4374" w14:paraId="58C6F2A8" w14:textId="77777777" w:rsidTr="007A4374">
        <w:tc>
          <w:tcPr>
            <w:tcW w:w="2336" w:type="dxa"/>
          </w:tcPr>
          <w:p w14:paraId="4A90C3FC" w14:textId="502B3F2F" w:rsidR="007A4374" w:rsidRDefault="007A4374">
            <w:r>
              <w:t>3</w:t>
            </w:r>
          </w:p>
        </w:tc>
        <w:tc>
          <w:tcPr>
            <w:tcW w:w="2336" w:type="dxa"/>
          </w:tcPr>
          <w:p w14:paraId="2EBB77C2" w14:textId="3DE3FD21" w:rsidR="007A4374" w:rsidRDefault="007A4374"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мера и средство контроля и управления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 (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control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>)</w:t>
            </w:r>
          </w:p>
        </w:tc>
        <w:tc>
          <w:tcPr>
            <w:tcW w:w="2336" w:type="dxa"/>
          </w:tcPr>
          <w:p w14:paraId="68EE25D1" w14:textId="011CC89B" w:rsidR="007A4374" w:rsidRDefault="007A4374">
            <w:r>
              <w:rPr>
                <w:rFonts w:ascii="Arial" w:hAnsi="Arial" w:cs="Arial"/>
                <w:color w:val="444444"/>
                <w:shd w:val="clear" w:color="auto" w:fill="FFFFFF"/>
              </w:rPr>
              <w:t> Средство менеджмента риска, включающее в себя политики, процедуры, рекомендации, инструкции или организационные структуры, которые могут быть административного, технического, управленческого или правового характера.</w:t>
            </w:r>
          </w:p>
        </w:tc>
        <w:tc>
          <w:tcPr>
            <w:tcW w:w="2337" w:type="dxa"/>
          </w:tcPr>
          <w:p w14:paraId="132DA2B0" w14:textId="77777777" w:rsidR="007A4374" w:rsidRDefault="007A4374"/>
        </w:tc>
      </w:tr>
      <w:tr w:rsidR="007A4374" w14:paraId="37E1E397" w14:textId="77777777" w:rsidTr="007A4374">
        <w:tc>
          <w:tcPr>
            <w:tcW w:w="2336" w:type="dxa"/>
          </w:tcPr>
          <w:p w14:paraId="63580420" w14:textId="2623D5C7" w:rsidR="007A4374" w:rsidRDefault="007A4374">
            <w:r>
              <w:t>4</w:t>
            </w:r>
          </w:p>
        </w:tc>
        <w:tc>
          <w:tcPr>
            <w:tcW w:w="2336" w:type="dxa"/>
          </w:tcPr>
          <w:p w14:paraId="42A32B72" w14:textId="3994C2CA" w:rsidR="007A4374" w:rsidRDefault="007A4374" w:rsidP="007A4374"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рекомендация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guideline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>)</w:t>
            </w:r>
          </w:p>
        </w:tc>
        <w:tc>
          <w:tcPr>
            <w:tcW w:w="2336" w:type="dxa"/>
          </w:tcPr>
          <w:p w14:paraId="08C69CDE" w14:textId="1FE735A1" w:rsidR="007A4374" w:rsidRDefault="007A4374">
            <w:r>
              <w:rPr>
                <w:rFonts w:ascii="Arial" w:hAnsi="Arial" w:cs="Arial"/>
                <w:color w:val="444444"/>
                <w:shd w:val="clear" w:color="auto" w:fill="FFFFFF"/>
              </w:rPr>
              <w:t>Описание, поясняющее действия и способы их выполнения, необходимые для достижения целей, изложенных в политике.</w:t>
            </w:r>
          </w:p>
        </w:tc>
        <w:tc>
          <w:tcPr>
            <w:tcW w:w="2337" w:type="dxa"/>
          </w:tcPr>
          <w:p w14:paraId="467CAC11" w14:textId="091C3748" w:rsidR="007A4374" w:rsidRDefault="007A4374">
            <w:r>
              <w:rPr>
                <w:rFonts w:ascii="Arial" w:hAnsi="Arial" w:cs="Arial"/>
                <w:color w:val="444444"/>
                <w:shd w:val="clear" w:color="auto" w:fill="FFFFFF"/>
              </w:rPr>
              <w:t>[ИСО/МЭК 13335-1:2004]</w:t>
            </w:r>
          </w:p>
        </w:tc>
      </w:tr>
      <w:tr w:rsidR="007A4374" w14:paraId="6B1D7386" w14:textId="77777777" w:rsidTr="007A4374">
        <w:tc>
          <w:tcPr>
            <w:tcW w:w="2336" w:type="dxa"/>
          </w:tcPr>
          <w:p w14:paraId="6FE4E268" w14:textId="47CCF5C1" w:rsidR="007A4374" w:rsidRDefault="007A4374">
            <w:r>
              <w:t>5</w:t>
            </w:r>
          </w:p>
        </w:tc>
        <w:tc>
          <w:tcPr>
            <w:tcW w:w="2336" w:type="dxa"/>
          </w:tcPr>
          <w:p w14:paraId="3ACEA5B8" w14:textId="439A43D9" w:rsidR="007A4374" w:rsidRDefault="007A4374"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политика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 (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policy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>)</w:t>
            </w:r>
          </w:p>
        </w:tc>
        <w:tc>
          <w:tcPr>
            <w:tcW w:w="2336" w:type="dxa"/>
          </w:tcPr>
          <w:p w14:paraId="24B85A17" w14:textId="6EF47736" w:rsidR="007A4374" w:rsidRDefault="007A4374">
            <w:r>
              <w:rPr>
                <w:rFonts w:ascii="Arial" w:hAnsi="Arial" w:cs="Arial"/>
                <w:color w:val="444444"/>
                <w:shd w:val="clear" w:color="auto" w:fill="FFFFFF"/>
              </w:rPr>
              <w:t>Общее намерение и направление, официально выраженное руководством.</w:t>
            </w:r>
          </w:p>
        </w:tc>
        <w:tc>
          <w:tcPr>
            <w:tcW w:w="2337" w:type="dxa"/>
          </w:tcPr>
          <w:p w14:paraId="4F64DA74" w14:textId="77777777" w:rsidR="007A4374" w:rsidRDefault="007A4374"/>
        </w:tc>
      </w:tr>
      <w:tr w:rsidR="007A4374" w14:paraId="0D8E3132" w14:textId="77777777" w:rsidTr="007A4374">
        <w:tc>
          <w:tcPr>
            <w:tcW w:w="2336" w:type="dxa"/>
          </w:tcPr>
          <w:p w14:paraId="63E5BE49" w14:textId="1CFCCB60" w:rsidR="007A4374" w:rsidRDefault="007A4374">
            <w:r>
              <w:t>6</w:t>
            </w:r>
          </w:p>
        </w:tc>
        <w:tc>
          <w:tcPr>
            <w:tcW w:w="2336" w:type="dxa"/>
          </w:tcPr>
          <w:p w14:paraId="7FC1D1DB" w14:textId="6A714E12" w:rsidR="007A4374" w:rsidRDefault="007A4374" w:rsidP="007A4374"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риск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 (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risk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>)</w:t>
            </w:r>
          </w:p>
        </w:tc>
        <w:tc>
          <w:tcPr>
            <w:tcW w:w="2336" w:type="dxa"/>
          </w:tcPr>
          <w:p w14:paraId="499CA882" w14:textId="490FC1E3" w:rsidR="007A4374" w:rsidRDefault="007A4374">
            <w:r>
              <w:rPr>
                <w:rFonts w:ascii="Arial" w:hAnsi="Arial" w:cs="Arial"/>
                <w:color w:val="444444"/>
                <w:shd w:val="clear" w:color="auto" w:fill="FFFFFF"/>
              </w:rPr>
              <w:t>Сочетание вероятности события и его последствий.</w:t>
            </w:r>
          </w:p>
        </w:tc>
        <w:tc>
          <w:tcPr>
            <w:tcW w:w="2337" w:type="dxa"/>
          </w:tcPr>
          <w:p w14:paraId="19F95713" w14:textId="0E5FC3B7" w:rsidR="007A4374" w:rsidRDefault="007A4374">
            <w:r>
              <w:rPr>
                <w:rFonts w:ascii="Arial" w:hAnsi="Arial" w:cs="Arial"/>
                <w:color w:val="444444"/>
                <w:shd w:val="clear" w:color="auto" w:fill="FFFFFF"/>
              </w:rPr>
              <w:t>[ИСО/МЭК Руководство 73:2002]</w:t>
            </w:r>
          </w:p>
        </w:tc>
      </w:tr>
      <w:tr w:rsidR="007A4374" w14:paraId="4023E28D" w14:textId="77777777" w:rsidTr="007A4374">
        <w:tc>
          <w:tcPr>
            <w:tcW w:w="2336" w:type="dxa"/>
          </w:tcPr>
          <w:p w14:paraId="230214F8" w14:textId="103E3A55" w:rsidR="007A4374" w:rsidRDefault="007A4374">
            <w:r>
              <w:t>7</w:t>
            </w:r>
          </w:p>
        </w:tc>
        <w:tc>
          <w:tcPr>
            <w:tcW w:w="2336" w:type="dxa"/>
          </w:tcPr>
          <w:p w14:paraId="21EB44B7" w14:textId="3803BA49" w:rsidR="007A4374" w:rsidRDefault="007A4374"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анализ риска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 (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risk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analysis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>)</w:t>
            </w:r>
          </w:p>
        </w:tc>
        <w:tc>
          <w:tcPr>
            <w:tcW w:w="2336" w:type="dxa"/>
          </w:tcPr>
          <w:p w14:paraId="59B7D30E" w14:textId="1DABB97E" w:rsidR="007A4374" w:rsidRDefault="007A4374">
            <w:r>
              <w:rPr>
                <w:rFonts w:ascii="Arial" w:hAnsi="Arial" w:cs="Arial"/>
                <w:color w:val="444444"/>
                <w:shd w:val="clear" w:color="auto" w:fill="FFFFFF"/>
              </w:rPr>
              <w:t>Систематическое использование информации для определения источников и количественной оценки риска.</w:t>
            </w:r>
          </w:p>
        </w:tc>
        <w:tc>
          <w:tcPr>
            <w:tcW w:w="2337" w:type="dxa"/>
          </w:tcPr>
          <w:p w14:paraId="7C28B139" w14:textId="185154F1" w:rsidR="007A4374" w:rsidRDefault="007A4374">
            <w:r>
              <w:rPr>
                <w:rFonts w:ascii="Arial" w:hAnsi="Arial" w:cs="Arial"/>
                <w:color w:val="444444"/>
                <w:shd w:val="clear" w:color="auto" w:fill="FFFFFF"/>
              </w:rPr>
              <w:t>[ИСО/МЭК Руководство 73:2002]</w:t>
            </w:r>
          </w:p>
        </w:tc>
      </w:tr>
      <w:tr w:rsidR="007A4374" w14:paraId="41133145" w14:textId="77777777" w:rsidTr="007A4374">
        <w:tc>
          <w:tcPr>
            <w:tcW w:w="2336" w:type="dxa"/>
          </w:tcPr>
          <w:p w14:paraId="301C21E7" w14:textId="3E508AAC" w:rsidR="007A4374" w:rsidRDefault="007A4374">
            <w:r>
              <w:t>8</w:t>
            </w:r>
          </w:p>
        </w:tc>
        <w:tc>
          <w:tcPr>
            <w:tcW w:w="2336" w:type="dxa"/>
          </w:tcPr>
          <w:p w14:paraId="424D5669" w14:textId="7CE3BBC5" w:rsidR="007A4374" w:rsidRDefault="007A4374">
            <w:pP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оценка риска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 (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risk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assessment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>)</w:t>
            </w:r>
          </w:p>
        </w:tc>
        <w:tc>
          <w:tcPr>
            <w:tcW w:w="2336" w:type="dxa"/>
          </w:tcPr>
          <w:p w14:paraId="2BF8DC87" w14:textId="12BACA6C" w:rsidR="007A4374" w:rsidRDefault="007A437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 Общий процесс анализа риска и оценивания риска.</w:t>
            </w:r>
          </w:p>
        </w:tc>
        <w:tc>
          <w:tcPr>
            <w:tcW w:w="2337" w:type="dxa"/>
          </w:tcPr>
          <w:p w14:paraId="0530ED7B" w14:textId="17D6C3B6" w:rsidR="007A4374" w:rsidRDefault="007A437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[ИСО/МЭК Руководство 73:2002]</w:t>
            </w:r>
          </w:p>
        </w:tc>
      </w:tr>
      <w:tr w:rsidR="007A4374" w14:paraId="6CD020F0" w14:textId="77777777" w:rsidTr="007A4374">
        <w:tc>
          <w:tcPr>
            <w:tcW w:w="2336" w:type="dxa"/>
          </w:tcPr>
          <w:p w14:paraId="05BF5651" w14:textId="32E4C060" w:rsidR="007A4374" w:rsidRDefault="007A4374">
            <w:r>
              <w:t>9</w:t>
            </w:r>
          </w:p>
        </w:tc>
        <w:tc>
          <w:tcPr>
            <w:tcW w:w="2336" w:type="dxa"/>
          </w:tcPr>
          <w:p w14:paraId="185F0ADD" w14:textId="6A08403A" w:rsidR="007A4374" w:rsidRDefault="007A4374">
            <w:pP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оценивание риска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 (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risk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evaluation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>)</w:t>
            </w:r>
          </w:p>
        </w:tc>
        <w:tc>
          <w:tcPr>
            <w:tcW w:w="2336" w:type="dxa"/>
          </w:tcPr>
          <w:p w14:paraId="113084EC" w14:textId="3795E2C4" w:rsidR="007A4374" w:rsidRDefault="007A437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Процесс сравнения количественно оцененного риска с заданными критериями риска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lastRenderedPageBreak/>
              <w:t>для определения значимости риска.</w:t>
            </w:r>
          </w:p>
        </w:tc>
        <w:tc>
          <w:tcPr>
            <w:tcW w:w="2337" w:type="dxa"/>
          </w:tcPr>
          <w:p w14:paraId="0D6813E6" w14:textId="4BABCE1E" w:rsidR="007A4374" w:rsidRDefault="007A437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lastRenderedPageBreak/>
              <w:t>[ИСО/МЭК Руководство 73:2002]</w:t>
            </w:r>
          </w:p>
        </w:tc>
      </w:tr>
      <w:tr w:rsidR="007A4374" w14:paraId="07F5EC02" w14:textId="77777777" w:rsidTr="007A4374">
        <w:tc>
          <w:tcPr>
            <w:tcW w:w="2336" w:type="dxa"/>
          </w:tcPr>
          <w:p w14:paraId="7B74D8FE" w14:textId="16AEA5E3" w:rsidR="007A4374" w:rsidRDefault="007A4374">
            <w:r>
              <w:t>10</w:t>
            </w:r>
          </w:p>
        </w:tc>
        <w:tc>
          <w:tcPr>
            <w:tcW w:w="2336" w:type="dxa"/>
          </w:tcPr>
          <w:p w14:paraId="4CB58122" w14:textId="1296DDFB" w:rsidR="007A4374" w:rsidRDefault="007A4374">
            <w:pP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менеджмент риска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 (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risk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management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>)</w:t>
            </w:r>
          </w:p>
        </w:tc>
        <w:tc>
          <w:tcPr>
            <w:tcW w:w="2336" w:type="dxa"/>
          </w:tcPr>
          <w:p w14:paraId="6A27CEBD" w14:textId="34AA41CB" w:rsidR="007A4374" w:rsidRDefault="007A437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Скоординированные действия по руководству и управлению организацией в отношении риска.</w:t>
            </w:r>
          </w:p>
        </w:tc>
        <w:tc>
          <w:tcPr>
            <w:tcW w:w="2337" w:type="dxa"/>
          </w:tcPr>
          <w:p w14:paraId="14331D40" w14:textId="4F743FBF" w:rsidR="007A4374" w:rsidRDefault="007A437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Обычно менеджмент риска включает в себя оценку риска, обработку риска, принятие риска и коммуникацию риска.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[ИСО/МЭК Руководство 73:2002]</w:t>
            </w:r>
          </w:p>
        </w:tc>
      </w:tr>
      <w:tr w:rsidR="007A4374" w14:paraId="5BB910FF" w14:textId="77777777" w:rsidTr="007A4374">
        <w:tc>
          <w:tcPr>
            <w:tcW w:w="2336" w:type="dxa"/>
          </w:tcPr>
          <w:p w14:paraId="1E7ED3A2" w14:textId="46D079DE" w:rsidR="007A4374" w:rsidRDefault="007A4374">
            <w:r>
              <w:t>11</w:t>
            </w:r>
          </w:p>
        </w:tc>
        <w:tc>
          <w:tcPr>
            <w:tcW w:w="2336" w:type="dxa"/>
          </w:tcPr>
          <w:p w14:paraId="0289C30D" w14:textId="72651BE0" w:rsidR="007A4374" w:rsidRDefault="007A4374">
            <w:pP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обработка риска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 (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risk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treatment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>)</w:t>
            </w:r>
          </w:p>
        </w:tc>
        <w:tc>
          <w:tcPr>
            <w:tcW w:w="2336" w:type="dxa"/>
          </w:tcPr>
          <w:p w14:paraId="7A0C81FE" w14:textId="0D3E0E4C" w:rsidR="007A4374" w:rsidRDefault="007A437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Процесс выбора и осуществления мер по модификации риска.</w:t>
            </w:r>
          </w:p>
        </w:tc>
        <w:tc>
          <w:tcPr>
            <w:tcW w:w="2337" w:type="dxa"/>
          </w:tcPr>
          <w:p w14:paraId="4CE3D6ED" w14:textId="0DF70823" w:rsidR="007A4374" w:rsidRDefault="007A437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[ИСО/МЭК Руководство 73:2002]</w:t>
            </w:r>
          </w:p>
        </w:tc>
      </w:tr>
      <w:tr w:rsidR="007A4374" w14:paraId="040CDB75" w14:textId="77777777" w:rsidTr="007A4374">
        <w:tc>
          <w:tcPr>
            <w:tcW w:w="2336" w:type="dxa"/>
          </w:tcPr>
          <w:p w14:paraId="5B0CE9DA" w14:textId="1B10EE56" w:rsidR="007A4374" w:rsidRDefault="007A4374">
            <w:r>
              <w:t>12</w:t>
            </w:r>
          </w:p>
        </w:tc>
        <w:tc>
          <w:tcPr>
            <w:tcW w:w="2336" w:type="dxa"/>
          </w:tcPr>
          <w:p w14:paraId="19742C23" w14:textId="617B02A6" w:rsidR="007A4374" w:rsidRDefault="007A4374">
            <w:pP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третья сторона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 (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third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party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>)</w:t>
            </w:r>
          </w:p>
        </w:tc>
        <w:tc>
          <w:tcPr>
            <w:tcW w:w="2336" w:type="dxa"/>
          </w:tcPr>
          <w:p w14:paraId="18CDE953" w14:textId="1BF1DC31" w:rsidR="007A4374" w:rsidRDefault="007A437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Лица или организация, которые признаны независимыми от участвующих сторон, по отношению к рассматриваемой проблеме.</w:t>
            </w:r>
          </w:p>
        </w:tc>
        <w:tc>
          <w:tcPr>
            <w:tcW w:w="2337" w:type="dxa"/>
          </w:tcPr>
          <w:p w14:paraId="2E7CC7E1" w14:textId="2FD41C73" w:rsidR="007A4374" w:rsidRDefault="007A437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[ИСО/МЭК Руководство 2:1996]</w:t>
            </w:r>
          </w:p>
        </w:tc>
      </w:tr>
      <w:tr w:rsidR="007A4374" w14:paraId="1574F850" w14:textId="77777777" w:rsidTr="007A4374">
        <w:tc>
          <w:tcPr>
            <w:tcW w:w="2336" w:type="dxa"/>
          </w:tcPr>
          <w:p w14:paraId="2E67D934" w14:textId="268760C8" w:rsidR="007A4374" w:rsidRDefault="007A4374">
            <w:r>
              <w:t>13</w:t>
            </w:r>
          </w:p>
        </w:tc>
        <w:tc>
          <w:tcPr>
            <w:tcW w:w="2336" w:type="dxa"/>
          </w:tcPr>
          <w:p w14:paraId="61047B3A" w14:textId="105B9219" w:rsidR="007A4374" w:rsidRDefault="007A4374">
            <w:pP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угроза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 (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threat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>):</w:t>
            </w:r>
          </w:p>
        </w:tc>
        <w:tc>
          <w:tcPr>
            <w:tcW w:w="2336" w:type="dxa"/>
          </w:tcPr>
          <w:p w14:paraId="03F84A06" w14:textId="545591EF" w:rsidR="007A4374" w:rsidRDefault="007A437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Потенциальная причина нежелательного инцидента, результатом которого может быть нанесение ущерба системе или организации.</w:t>
            </w:r>
          </w:p>
        </w:tc>
        <w:tc>
          <w:tcPr>
            <w:tcW w:w="2337" w:type="dxa"/>
          </w:tcPr>
          <w:p w14:paraId="673C7582" w14:textId="410CA3D0" w:rsidR="007A4374" w:rsidRDefault="007A437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[ИСО/МЭК 13335-1:2004]</w:t>
            </w:r>
          </w:p>
        </w:tc>
      </w:tr>
      <w:tr w:rsidR="007A4374" w14:paraId="131FF83E" w14:textId="77777777" w:rsidTr="007A4374">
        <w:tc>
          <w:tcPr>
            <w:tcW w:w="2336" w:type="dxa"/>
          </w:tcPr>
          <w:p w14:paraId="16D60EFD" w14:textId="25B712D0" w:rsidR="007A4374" w:rsidRDefault="007A4374">
            <w:r>
              <w:t>14</w:t>
            </w:r>
          </w:p>
        </w:tc>
        <w:tc>
          <w:tcPr>
            <w:tcW w:w="2336" w:type="dxa"/>
          </w:tcPr>
          <w:p w14:paraId="2D09C67E" w14:textId="70DA085E" w:rsidR="007A4374" w:rsidRDefault="007A4374">
            <w:pP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уязвимость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 (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vulnerability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>)</w:t>
            </w:r>
          </w:p>
        </w:tc>
        <w:tc>
          <w:tcPr>
            <w:tcW w:w="2336" w:type="dxa"/>
          </w:tcPr>
          <w:p w14:paraId="6B10ADA8" w14:textId="6CB59F26" w:rsidR="007A4374" w:rsidRDefault="007A437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Слабость одного или нескольких активов, которая может быть использована одной или несколькими угрозами.</w:t>
            </w:r>
          </w:p>
        </w:tc>
        <w:tc>
          <w:tcPr>
            <w:tcW w:w="2337" w:type="dxa"/>
          </w:tcPr>
          <w:p w14:paraId="79E2F6B8" w14:textId="149A95AC" w:rsidR="007A4374" w:rsidRDefault="007A437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[ИСО/МЭК 13335-1:2004]</w:t>
            </w:r>
          </w:p>
          <w:p w14:paraId="4788D356" w14:textId="67205BE9" w:rsidR="007A4374" w:rsidRDefault="007A4374" w:rsidP="007A4374">
            <w:pPr>
              <w:rPr>
                <w:rFonts w:ascii="Arial" w:hAnsi="Arial" w:cs="Arial"/>
              </w:rPr>
            </w:pPr>
          </w:p>
          <w:p w14:paraId="5F72F965" w14:textId="77777777" w:rsidR="007A4374" w:rsidRPr="007A4374" w:rsidRDefault="007A4374" w:rsidP="007A4374">
            <w:pPr>
              <w:ind w:firstLine="708"/>
              <w:rPr>
                <w:rFonts w:ascii="Arial" w:hAnsi="Arial" w:cs="Arial"/>
              </w:rPr>
            </w:pPr>
          </w:p>
        </w:tc>
      </w:tr>
      <w:tr w:rsidR="00A15A3E" w:rsidRPr="00A15A3E" w14:paraId="6ACD88BB" w14:textId="77777777" w:rsidTr="007A4374">
        <w:tc>
          <w:tcPr>
            <w:tcW w:w="2336" w:type="dxa"/>
          </w:tcPr>
          <w:p w14:paraId="5F97B261" w14:textId="77777777" w:rsidR="00A15A3E" w:rsidRDefault="00A15A3E"/>
        </w:tc>
        <w:tc>
          <w:tcPr>
            <w:tcW w:w="2336" w:type="dxa"/>
          </w:tcPr>
          <w:p w14:paraId="59A30B81" w14:textId="4F63DCB9" w:rsidR="00A15A3E" w:rsidRDefault="00A15A3E" w:rsidP="00A15A3E">
            <w:pPr>
              <w:ind w:firstLine="708"/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ОЭСР</w:t>
            </w:r>
          </w:p>
        </w:tc>
        <w:tc>
          <w:tcPr>
            <w:tcW w:w="2336" w:type="dxa"/>
          </w:tcPr>
          <w:p w14:paraId="5EFD2CA7" w14:textId="4F24C2A5" w:rsidR="00A15A3E" w:rsidRPr="00A15A3E" w:rsidRDefault="00A15A3E">
            <w:pPr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организация</w:t>
            </w:r>
            <w:r w:rsidRPr="00A15A3E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экономического</w:t>
            </w:r>
            <w:r w:rsidRPr="00A15A3E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сотрудничества</w:t>
            </w:r>
            <w:r w:rsidRPr="00A15A3E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и</w:t>
            </w:r>
            <w:r w:rsidRPr="00A15A3E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развития</w:t>
            </w:r>
            <w:r w:rsidRPr="00A15A3E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 xml:space="preserve"> (OECD - Organization for Economic Cooperation and Development).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31A6E5E0" w14:textId="77777777" w:rsidR="00A15A3E" w:rsidRPr="00A15A3E" w:rsidRDefault="00A15A3E">
            <w:pPr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</w:tc>
      </w:tr>
    </w:tbl>
    <w:p w14:paraId="72EBD9B7" w14:textId="77777777" w:rsidR="000B3B59" w:rsidRPr="00A15A3E" w:rsidRDefault="000B3B59">
      <w:pPr>
        <w:rPr>
          <w:lang w:val="en-US"/>
        </w:rPr>
      </w:pPr>
    </w:p>
    <w:sectPr w:rsidR="000B3B59" w:rsidRPr="00A15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59"/>
    <w:rsid w:val="000B3B59"/>
    <w:rsid w:val="005632F1"/>
    <w:rsid w:val="007A4374"/>
    <w:rsid w:val="00A15A3E"/>
    <w:rsid w:val="00BC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0507"/>
  <w15:chartTrackingRefBased/>
  <w15:docId w15:val="{7AFF0D51-6554-4F88-BE5E-C2D27CCD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Максим Дмитриевич</dc:creator>
  <cp:keywords/>
  <dc:description/>
  <cp:lastModifiedBy>Дмитриев Максим Дмитриевич</cp:lastModifiedBy>
  <cp:revision>3</cp:revision>
  <dcterms:created xsi:type="dcterms:W3CDTF">2023-01-16T02:32:00Z</dcterms:created>
  <dcterms:modified xsi:type="dcterms:W3CDTF">2023-01-16T02:43:00Z</dcterms:modified>
</cp:coreProperties>
</file>