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AI-ассистент для Башкирэнерго</w:t>
      </w:r>
    </w:p>
    <w:p>
      <w:pPr>
        <w:spacing w:after="360"/>
      </w:pPr>
      <w:r>
        <w:rPr>
          <w:i/>
          <w:iCs/>
          <w:color w:val="666666"/>
        </w:rPr>
        <w:t xml:space="preserve">Проект D:\ai_assistant\ai_assistant</w:t>
      </w:r>
    </w:p>
    <w:p>
      <w:pPr>
        <w:pStyle w:val="Heading2"/>
      </w:pPr>
      <w:r>
        <w:t xml:space="preserve">1. Название и цель проекта</w:t>
      </w:r>
    </w:p>
    <w:p>
      <w:pPr>
        <w:spacing w:after="120"/>
      </w:pPr>
      <w:r>
        <w:t xml:space="preserve">RAG-чат-бот для поддержки технологического присоединения к электросетям (ТПП) в компании Башкирэнерго.</w:t>
      </w:r>
    </w:p>
    <w:p>
      <w:pPr>
        <w:spacing w:after="240"/>
      </w:pPr>
      <w:r>
        <w:rPr>
          <w:b/>
          <w:bCs/>
        </w:rPr>
        <w:t xml:space="preserve">Цель: </w:t>
      </w:r>
      <w:r>
        <w:t xml:space="preserve">Автоматизация ответов на вопросы клиентов по трём направлениям: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ЛК</w:t>
      </w:r>
      <w:r>
        <w:t xml:space="preserve"> — Личный кабинет (операции с лицевым счётом)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ДУ</w:t>
      </w:r>
      <w:r>
        <w:t xml:space="preserve"> — Дополнительные услуги (платные сервисы)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ТПП</w:t>
      </w:r>
      <w:r>
        <w:t xml:space="preserve"> — Технологическое присоединение (основной процесс)</w:t>
      </w:r>
    </w:p>
    <w:p>
      <w:pPr>
        <w:pStyle w:val="Heading2"/>
      </w:pPr>
      <w:r>
        <w:t xml:space="preserve">2. Архитектура</w:t>
      </w:r>
    </w:p>
    <w:p>
      <w:pPr>
        <w:pStyle w:val="Heading3"/>
      </w:pPr>
      <w:r>
        <w:t xml:space="preserve">2.1 Компоненты системы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Компонент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Описание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Vue 3 SPA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Фронтенд на Vue 3 + Vite + Pinia + Tailwind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nginx :80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Обслуживание статических файлов фронтенда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nginx :8877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Проксирование API-запросов к бэкенду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FastAPI :8880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Бэкенд-сервер (agents, tools, prompts)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Qdrant :6333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Векторная база данных (коллекция BASHKIR_ENERGO_PERPLEXITY)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Supabase :8000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JWT-авторизация + PostgreSQL (история чата)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RouterAI API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LLM (inception/mercury-2) + embeddings (pplx-embed-v1-4b)</w:t>
            </w:r>
          </w:p>
        </w:tc>
      </w:tr>
    </w:tbl>
    <w:p>
      <w:pPr>
        <w:pStyle w:val="Heading3"/>
        <w:spacing w:before="240"/>
      </w:pPr>
      <w:r>
        <w:t xml:space="preserve">2.2 Пайплайн агентов</w:t>
      </w:r>
    </w:p>
    <w:p>
      <w:pPr>
        <w:spacing w:after="120"/>
      </w:pPr>
      <w:r>
        <w:t xml:space="preserve">User Query → SearchAgent → Hybrid Search (Qdrant + BM25) → ResponseAgent → LLM Response + Sources</w:t>
      </w:r>
    </w:p>
    <w:p>
      <w:pPr>
        <w:pStyle w:val="Heading3"/>
        <w:spacing w:before="240"/>
      </w:pPr>
      <w:r>
        <w:t xml:space="preserve">2.3 Hybrid Search</w:t>
      </w:r>
    </w:p>
    <w:p>
      <w:pPr>
        <w:spacing w:after="120"/>
      </w:pPr>
      <w:r>
        <w:t xml:space="preserve">Четыре компонента поиска с весами (сумма = 1.0):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PREF</w:t>
      </w:r>
      <w:r>
        <w:t xml:space="preserve"> — 0.4 (предпочтения пользователя)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HYPE</w:t>
      </w:r>
      <w:r>
        <w:t xml:space="preserve"> — 0.3 (гипербола)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LEXICAL</w:t>
      </w:r>
      <w:r>
        <w:t xml:space="preserve"> — 0.2 (лейкемия)</w:t>
      </w:r>
    </w:p>
    <w:p>
      <w:pPr>
        <w:pStyle w:val="ListParagraph"/>
        <w:numPr>
          <w:ilvl w:val="0"/>
          <w:numId w:val="3"/>
        </w:numPr>
        <w:spacing w:after="240"/>
      </w:pPr>
      <w:r>
        <w:rPr>
          <w:b/>
          <w:bCs/>
        </w:rPr>
        <w:t xml:space="preserve">CONTEXTUAL</w:t>
      </w:r>
      <w:r>
        <w:t xml:space="preserve"> — 0.1 (контекст)</w:t>
      </w:r>
    </w:p>
    <w:p>
      <w:pPr>
        <w:pStyle w:val="Heading2"/>
      </w:pPr>
      <w:r>
        <w:t xml:space="preserve">3. Стек технологий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Слой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Технологии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Backend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Python 3.11+, FastAPI (api.api:app)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Frontend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Vue 3, Vite, Pinia, Tailwind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Database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Supabase (PostgreSQL)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Vector DB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Qdrant (port 6333)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LLM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RouterAI: inception/mercury-2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Embeddings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perplexity/pplx-embed-v1-4b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Judge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deepseek/deepseek-v3.2</w:t>
            </w:r>
          </w:p>
        </w:tc>
      </w:tr>
    </w:tbl>
    <w:p>
      <w:pPr>
        <w:pStyle w:val="Heading2"/>
        <w:spacing w:before="360"/>
      </w:pPr>
      <w:r>
        <w:t xml:space="preserve">4. Ключевые директории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Директория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Назначение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backend/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FastAPI-приложение — agents, tools, prompts, config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backend/agents/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SearchAgent, ResponseAgent, QueryGenerator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backend/api/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REST endpoints: /query, /query/stream, /history, /feedback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backend/prompts/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Системные промпты (ЗАБЛОКИРОВАНЫ — не менять стиль)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frontend/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Vue 3 SPA — чат-интерфейс, история, профиль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api_benchmarks/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CSV с результатами бенчмарков (оценки judge)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new_data/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Датасеты бенчмарков: вопрос + ожидаемый ответ + source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practice/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Тестовые документы и экспертные ревью (.docx)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docs/specs/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Долговечные спецификации проекта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.opencode/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OpenCode-слой: agents, skills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scripts/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Утилиты (конвертация PDF, генерация слайдов)</w:t>
            </w:r>
          </w:p>
        </w:tc>
      </w:tr>
    </w:tbl>
    <w:p>
      <w:pPr>
        <w:pStyle w:val="Heading2"/>
        <w:spacing w:before="360"/>
      </w:pPr>
      <w:r>
        <w:t xml:space="preserve">5. Конвенции и ограничения</w:t>
      </w:r>
    </w:p>
    <w:p>
      <w:pPr>
        <w:pStyle w:val="Heading3"/>
      </w:pPr>
      <w:r>
        <w:t xml:space="preserve">5.1 Критические ограничения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Точка входа бэкенда:</w:t>
      </w:r>
      <w:r>
        <w:t xml:space="preserve"> api.api:app (НЕ main.py)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BM25 нормализация:</w:t>
      </w:r>
      <w:r>
        <w:t xml:space="preserve"> score / max_score (классическая, без tanh/softmax)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Промпты:</w:t>
      </w:r>
      <w:r>
        <w:t xml:space="preserve"> заморожены в backend/prompts/ — не менять стиль написания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Кодировка:</w:t>
      </w:r>
      <w:r>
        <w:t xml:space="preserve"> UTF-8 для кириллицы; CSV с BOM (utf-8-sig)</w:t>
      </w:r>
    </w:p>
    <w:p>
      <w:pPr>
        <w:pStyle w:val="ListParagraph"/>
        <w:numPr>
          <w:ilvl w:val="0"/>
          <w:numId w:val="3"/>
        </w:numPr>
        <w:spacing w:after="240"/>
      </w:pPr>
      <w:r>
        <w:rPr>
          <w:b/>
          <w:bCs/>
        </w:rPr>
        <w:t xml:space="preserve">Supabase:</w:t>
      </w:r>
      <w:r>
        <w:t xml:space="preserve"> двойная роль — JWT auth + хранилище истории чата</w:t>
      </w:r>
    </w:p>
    <w:p>
      <w:pPr>
        <w:pStyle w:val="Heading3"/>
      </w:pPr>
      <w:r>
        <w:t xml:space="preserve">5.2 Конфигурация</w:t>
      </w:r>
    </w:p>
    <w:p>
      <w:pPr>
        <w:spacing w:after="120"/>
      </w:pPr>
      <w:r>
        <w:t xml:space="preserve">Для запуска: скопировать .env.example → .env и заполнить:</w:t>
      </w:r>
    </w:p>
    <w:p>
      <w:pPr>
        <w:pStyle w:val="ListParagraph"/>
        <w:numPr>
          <w:ilvl w:val="0"/>
          <w:numId w:val="3"/>
        </w:numPr>
      </w:pPr>
      <w:r>
        <w:t xml:space="preserve">ROUTERAI_API_KEY</w:t>
      </w:r>
    </w:p>
    <w:p>
      <w:pPr>
        <w:pStyle w:val="ListParagraph"/>
        <w:numPr>
          <w:ilvl w:val="0"/>
          <w:numId w:val="3"/>
        </w:numPr>
      </w:pPr>
      <w:r>
        <w:t xml:space="preserve">SUPABASE_URL</w:t>
      </w:r>
    </w:p>
    <w:p>
      <w:pPr>
        <w:pStyle w:val="ListParagraph"/>
        <w:numPr>
          <w:ilvl w:val="0"/>
          <w:numId w:val="3"/>
        </w:numPr>
      </w:pPr>
      <w:r>
        <w:t xml:space="preserve">SUPABASE_SERVICE_ROLE_KEY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SUPABASE_JWT_SECRET</w:t>
      </w:r>
    </w:p>
    <w:p>
      <w:pPr>
        <w:pStyle w:val="Heading3"/>
      </w:pPr>
      <w:r>
        <w:t xml:space="preserve">5.3 Команды</w:t>
      </w:r>
    </w:p>
    <w:p>
      <w:pPr>
        <w:spacing w:after="120"/>
      </w:pPr>
      <w:r>
        <w:rPr>
          <w:b/>
          <w:bCs/>
        </w:rPr>
        <w:t xml:space="preserve">Docker:</w:t>
      </w:r>
      <w:r>
        <w:t xml:space="preserve"> docker-compose up -d --build / docker-compose down</w:t>
      </w:r>
    </w:p>
    <w:p>
      <w:pPr>
        <w:spacing w:after="120"/>
      </w:pPr>
      <w:r>
        <w:rPr>
          <w:b/>
          <w:bCs/>
        </w:rPr>
        <w:t xml:space="preserve">Backend локально:</w:t>
      </w:r>
      <w:r>
        <w:t xml:space="preserve"> cd backend &amp;&amp; uvicorn api.api:app --reload --host 0.0.0.0 --port 8880</w:t>
      </w:r>
    </w:p>
    <w:p>
      <w:pPr>
        <w:spacing w:after="120"/>
      </w:pPr>
      <w:r>
        <w:rPr>
          <w:b/>
          <w:bCs/>
        </w:rPr>
        <w:t xml:space="preserve">Frontend локально:</w:t>
      </w:r>
      <w:r>
        <w:t xml:space="preserve"> cd frontend &amp;&amp; npm run dev</w:t>
      </w:r>
    </w:p>
    <w:p>
      <w:pPr>
        <w:spacing w:after="120"/>
      </w:pPr>
      <w:r>
        <w:rPr>
          <w:b/>
          <w:bCs/>
        </w:rPr>
        <w:t xml:space="preserve">Тесты бэкенда:</w:t>
      </w:r>
      <w:r>
        <w:t xml:space="preserve"> cd backend &amp;&amp; pytest</w:t>
      </w:r>
    </w:p>
    <w:p>
      <w:pPr>
        <w:spacing w:after="360"/>
      </w:pPr>
      <w:r>
        <w:rPr>
          <w:b/>
          <w:bCs/>
        </w:rPr>
        <w:t xml:space="preserve">Тесты фронтенда:</w:t>
      </w:r>
      <w:r>
        <w:t xml:space="preserve"> cd frontend &amp;&amp; npm run test:unit &amp;&amp; npm run lint</w:t>
      </w:r>
    </w:p>
    <w:p>
      <w:pPr>
        <w:pStyle w:val="Heading3"/>
      </w:pPr>
      <w:r>
        <w:t xml:space="preserve">5.4 Доменные категории</w:t>
      </w:r>
    </w:p>
    <w:p>
      <w:pPr>
        <w:spacing w:after="120"/>
      </w:pPr>
      <w:r>
        <w:rPr>
          <w:b/>
          <w:bCs/>
        </w:rPr>
        <w:t xml:space="preserve">ФЛ</w:t>
      </w:r>
      <w:r>
        <w:t xml:space="preserve"> — Физическое лицо | </w:t>
      </w:r>
      <w:r>
        <w:rPr>
          <w:b/>
          <w:bCs/>
        </w:rPr>
        <w:t xml:space="preserve">ИП</w:t>
      </w:r>
      <w:r>
        <w:t xml:space="preserve"> — Индивидуальный предприниматель | </w:t>
      </w:r>
      <w:r>
        <w:rPr>
          <w:b/>
          <w:bCs/>
        </w:rPr>
        <w:t xml:space="preserve">ЮЛ</w:t>
      </w:r>
      <w:r>
        <w:t xml:space="preserve"> — Юридическое лицо</w:t>
      </w:r>
    </w:p>
    <w:p>
      <w:pPr>
        <w:spacing w:after="120"/>
      </w:pPr>
      <w:r>
        <w:rPr>
          <w:b/>
          <w:bCs/>
        </w:rPr>
        <w:t xml:space="preserve">Критерии оценки judge:</w:t>
      </w:r>
      <w:r>
        <w:t xml:space="preserve"> relevance, completeness, helpfulness, clarity, hallucination_risk, context_recall, faithfulness, currency, binary_correctness, overall_score</w:t>
      </w:r>
    </w:p>
    <w:p>
      <w:pPr>
        <w:pStyle w:val="Heading3"/>
        <w:spacing w:before="240"/>
      </w:pPr>
      <w:r>
        <w:t xml:space="preserve">5.5 Определение успеха</w:t>
      </w:r>
    </w:p>
    <w:p>
      <w:pPr>
        <w:spacing w:after="360"/>
      </w:pPr>
      <w:r>
        <w:t xml:space="preserve">Корректный ответ = ответ модели совпадает с ожидаемой процедурой + правильная терминология + соблюдение доменных ограничений (категории ФЛ/ИП/ЮЛ, лимиты мощности, классы напряжения) + отсутствие галлюцинаций.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Страница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666666"/>
        <w:sz w:val="20"/>
        <w:szCs w:val="20"/>
      </w:rPr>
      <w:t xml:space="preserve">AI-ассистент Башкирэнерго — Отчёт о проекте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2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2026-04-28T19:50:28.173Z</dcterms:created>
  <dcterms:modified xsi:type="dcterms:W3CDTF">2026-04-28T19:50:28.174Z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