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Benchmark Analysis Report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AI Assistant (Башкирэнерго)</w:t>
      </w:r>
    </w:p>
    <w:p>
      <w:pPr>
        <w:pBdr>
          <w:bottom w:val="single" w:color="2E75B6" w:sz="6" w:space="8"/>
        </w:pBdr>
        <w:spacing w:after="120"/>
        <w:jc w:val="center"/>
      </w:pPr>
    </w:p>
    <w:p>
      <w:pPr>
        <w:spacing w:after="24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308 questions evaluated | 39.0% correct | Judge agreement 92.9%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Date: 2026-04-28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Review method: Judge LLM (deepseek-v3.2) + manual semantic verification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This report presents the results of benchmarking the AI Assistant for Bashkirenergo's technical connection support. 308 questions across three domain categories were evaluated using a judge LLM (deepseek-v3.2) supplemented by manual semantic verification.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metrics: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• Total questions: 308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• Correct answers: 120 (39.0%)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• Errors: 188 (61.0%)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• Judge-model agreement: 286/308 (92.9%)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• Answer not found in sources: 11 cases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• Average judge overall score: 3.71 / 10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Category Breakdown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400"/>
        <w:gridCol w:w="14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Correct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% Correct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Avg Score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Личный кабинет (ЛК)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54.7%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4.17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Дополнительные услуги (ДУ)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32.8%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3.51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Технологическое присоединение (ТПП)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36.7%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3.65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ВСЕГО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39.0%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3.71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The worst-performing category is ДУ (Additional Services) at 32.8% accuracy. The model frequently confuses ДУ procedures with ТП procedures, leading to incorrect recommendations.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ЛК (Personal Account) performs best at 54.7%, suggesting the model has better grounding in the most common customer questions.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Error Pattern Analysis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Classification of errors according to Anna Borisovna's review notes from expert evaluation: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Error Pattern Distribution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800"/>
        <w:gridCol w:w="1700"/>
      </w:tblGrid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 Pattern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Occurrences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% of Errors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Неверная терминология ("обычный заявитель", "сетевой орган")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69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36.7%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Неверный расчёт стоимости или тарифы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22.9%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 учтены ограничения по мощности / категории заявителя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21.8%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Льготная ставка / соц.льгота применяется некорректно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11.7%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Путаница между ДУ и ТП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3.2%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observations: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• Terminology errors are the most common — model uses incorrect business vocabulary like "обычный заявитель" (should be ФЛ/ИП/ЮЛ) and "сетевой орган" (should be сетевая организация)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• Cost calculation errors affect 22.9% of all errors — model provides wrong amounts, formulas, or tariff rates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• Power/constraint errors (21.8%) — model fails to distinguish between ФЛ ≤ 15 kW, ИП/ЮЛ ≤ 150 kW, and свыше 150 kW categories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Judge LLM Objectivity Analysis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The benchmark uses deepseek-v3.2 as a judge model to evaluate answer quality across 10 criteria.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50"/>
      </w:tblGrid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questions evaluated</w:t>
            </w:r>
          </w:p>
        </w:tc>
        <w:tc>
          <w:tcPr>
            <w:tcW w:type="dxa" w:w="4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308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Judge agrees with manual review</w:t>
            </w:r>
          </w:p>
        </w:tc>
        <w:tc>
          <w:tcPr>
            <w:tcW w:type="dxa" w:w="4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286 (92.9%)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Judge too strict (correct → wrong)</w:t>
            </w:r>
          </w:p>
        </w:tc>
        <w:tc>
          <w:tcPr>
            <w:tcW w:type="dxa" w:w="4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(1.6%)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Judge too lenient (wrong → correct)</w:t>
            </w:r>
          </w:p>
        </w:tc>
        <w:tc>
          <w:tcPr>
            <w:tcW w:type="dxa" w:w="4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(0%)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judge data available</w:t>
            </w:r>
          </w:p>
        </w:tc>
        <w:tc>
          <w:tcPr>
            <w:tcW w:type="dxa" w:w="4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 (5.5%)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The judge LLM demonstrates high reliability (92.9% agreement). No cases of leniency were found — the judge never passed an incorrect answer as correct. All 5 disagreement cases were the judge being too strict, penalizing verbose-but-substantively-correct answers.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Verdict: The judge model is fit for purpose. It can be used for automated benchmark evaluation with high confidence.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Development Roadmap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Immediate Actions (Week 1-2)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1. Fix ДУ category accuracy (currently 32.8%)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The model confuses ДУ (Additional Services) procedures with ТП (Technical Connection). Create separate system prompt for ДУ questions with explicit procedural boundaries.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 Improve search quality for deadlines and costs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Model frequently gives wrong numerical answers. Add structured data tables to the vector database for cost amounts, deadlines, and tariff rates.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 Fix password recovery procedures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Model applies generic password recovery to all cases, ignoring critical context differences (ЦОК registration, ЮЛ status, first-time vs returning user).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Short-term (Week 3-4)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1. Incorporate Anna Borisovna's expert corrections into system prompts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 Improve source attribution — model says answer not found 11 times where it exists in sources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 Add explicit power/category constraint rules to response agent (ФЛ ≤ 15 kW, ИП/ЮЛ ≤ 150 kW)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Medium-term (Month 2-3)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1. Separate response agents per domain category (ЛК / ДУ / ТПП)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 Implement RAG quality monitoring — track context_recall scores, alert on degradation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 Automate weekly benchmark runs with accuracy trend tracking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 Expand benchmark dataset with more ДУ-specific and edge case questions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 Reduce terminology errors through domain-specific fine-tuning or constrained vocabulary</w:t>
      </w:r>
    </w:p>
    <w:sectPr>
      <w:headerReference w:type="default" r:id="rId7"/>
      <w:footerReference w:type="default" r:id="rId8"/>
      <w:pgSz w:w="11906" w:h="16838" w:orient="portrait"/>
      <w:pgMar w:top="1100" w:right="1280" w:bottom="110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6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Башкирэнерго — AI Assistant Benchmark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2026-04-28T07:27:01.824Z</dcterms:created>
  <dcterms:modified xsi:type="dcterms:W3CDTF">2026-04-28T07:27:01.826Z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