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48y7t2xd8xm" w:id="0"/>
      <w:bookmarkEnd w:id="0"/>
      <w:r w:rsidDel="00000000" w:rsidR="00000000" w:rsidRPr="00000000">
        <w:rPr>
          <w:rtl w:val="0"/>
        </w:rPr>
        <w:t xml:space="preserve">Спринт 4. Проект «Секреты Темнолесья»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Цель проекта — </w:t>
      </w:r>
      <w:r w:rsidDel="00000000" w:rsidR="00000000" w:rsidRPr="00000000">
        <w:rPr>
          <w:rtl w:val="0"/>
        </w:rPr>
        <w:t xml:space="preserve">изучить влияние характеристик игроков и их игровых персонажей на покупку внутриигровой валюты «райские лепестки», а также оценить активность игроков при совершении внутриигровых покупок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Автор: </w:t>
      </w:r>
      <w:r w:rsidDel="00000000" w:rsidR="00000000" w:rsidRPr="00000000">
        <w:rPr>
          <w:rtl w:val="0"/>
        </w:rPr>
        <w:t xml:space="preserve"> Лаптева Диана Дмитриевна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Дата: 05.10.2024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ckh1w4h1tu52" w:id="1"/>
      <w:bookmarkEnd w:id="1"/>
      <w:r w:rsidDel="00000000" w:rsidR="00000000" w:rsidRPr="00000000">
        <w:rPr>
          <w:rtl w:val="0"/>
        </w:rPr>
        <w:t xml:space="preserve">Часть </w:t>
      </w:r>
      <w:r w:rsidDel="00000000" w:rsidR="00000000" w:rsidRPr="00000000">
        <w:rPr>
          <w:rtl w:val="0"/>
        </w:rPr>
        <w:t xml:space="preserve">1. Результаты исследовательского анализа данных: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atgqb93e8rwi" w:id="2"/>
      <w:bookmarkEnd w:id="2"/>
      <w:r w:rsidDel="00000000" w:rsidR="00000000" w:rsidRPr="00000000">
        <w:rPr>
          <w:rtl w:val="0"/>
        </w:rPr>
        <w:t xml:space="preserve">1.1. Какая доля платящих игроков характерна для всей игры и как раса персонажа влияет на изменение этого показателя?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</w:rPr>
        <w:drawing>
          <wp:inline distB="114300" distT="114300" distL="114300" distR="114300">
            <wp:extent cx="5695950" cy="3429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>
          <w:color w:val="000000"/>
          <w:sz w:val="22"/>
          <w:szCs w:val="22"/>
        </w:rPr>
      </w:pPr>
      <w:bookmarkStart w:colFirst="0" w:colLast="0" w:name="_av9jttpy915y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Свыше 17% пользователей тратят деньги на внутриигровые дополнения, что является достаточно хорошим показателем.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Обратим внимание на влияние расы персонажа на долю платящих пользователей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3333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Разделение пользователей на расы может помочь подобрать нужную рекламу. Стоит изучить какие промо-акции завлекают аудиторию, играющую за демонов, покупать внутриигровую валюту. Необходимо разработать и предложить специальные предложения расам, которые не так активно финансово вкладываются в игру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np1o08e32y9" w:id="4"/>
      <w:bookmarkEnd w:id="4"/>
      <w:r w:rsidDel="00000000" w:rsidR="00000000" w:rsidRPr="00000000">
        <w:rPr>
          <w:rtl w:val="0"/>
        </w:rPr>
        <w:t xml:space="preserve">1.2. Сколько было совершено внутриигровых покупок и что можно сказать об их стоимости (минимум и максимум, есть ли различие между средним значением и медианой, какой разброс данных)?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Всего было совершено 1307678 внутриигровых покупок.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Ниже представлены основные характеристики стоимости: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486615,1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525,69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74,86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2517,35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Разберем каждое значение.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Минимальная стоимость покупок было 0, что с высокой вероятность было связано с аномальными транзакциями, изучение которых требует более детальный анализ.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Показатели средней и медианной цены имеют большой разрыв, что свидетельствует о том, что присутствуют очень дорогие покупки, которые увеличивают показатель среднего значения.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Стандартное отклонение очень большое. Это говорит о том, что было совершено много покупок по кардинально различным ценам: были совершены как покупки с очень низкой стоимостью, так и с очень высокой.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Разброс в стоимости покупок показывает на различие аудитории, всвязи с этим стоит тщательно продумать специальные предложения и делать их различным для нескольких категорий игроков: для тех, кто готов тратить крупные суммы и для тех, кто тратиться по мелочи. Стоит обратить внимание на крупные покупки, чтобы понять, какие предложения привлекают наиболее прибыльную для компании аудиторию.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3p7x4lqqfki7" w:id="5"/>
      <w:bookmarkEnd w:id="5"/>
      <w:r w:rsidDel="00000000" w:rsidR="00000000" w:rsidRPr="00000000">
        <w:rPr>
          <w:rtl w:val="0"/>
        </w:rPr>
        <w:t xml:space="preserve">1.3. Есть ли аномальные покупки по стоимости? Если есть, то сколько их?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1307678 покупок было обнаружено 907 аномалий, что составляет менее 0,1%.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Такой показатель может быть связан с разными причинами: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Ошибки транзакций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Внутриигровые действия (получения бесплатных предметов/бонусов/акций)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zc5c6hb857kr" w:id="6"/>
      <w:bookmarkEnd w:id="6"/>
      <w:r w:rsidDel="00000000" w:rsidR="00000000" w:rsidRPr="00000000">
        <w:rPr>
          <w:rtl w:val="0"/>
        </w:rPr>
        <w:t xml:space="preserve">1.4. Сколько игроков совершают внутриигровые покупки и насколько активно? Сравните поведение платящих и неплатящих игроков.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i w:val="1"/>
          <w:color w:val="0b5394"/>
        </w:rPr>
      </w:pPr>
      <w:r w:rsidDel="00000000" w:rsidR="00000000" w:rsidRPr="00000000">
        <w:rPr>
          <w:i w:val="1"/>
          <w:color w:val="0b5394"/>
        </w:rPr>
        <w:drawing>
          <wp:inline distB="114300" distT="114300" distL="114300" distR="114300">
            <wp:extent cx="5295900" cy="3352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приоритете должны оставаться игроки, несущие значительные финансовые траты, для их удержания стоит рассмотреть и разработать интересные персональные предложения, повышающие спрос к игре. Также игроки, не тратящие деньги, проявляют высокую активность и совершают множество транзакций. Это может свидетельствовать о том, что введение различных внутриигровых бонусов или скидок на крупные покупки, могут побудить их начать тратить реальные деньги.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spacing w:after="240" w:before="240" w:lineRule="auto"/>
        <w:rPr/>
      </w:pPr>
      <w:bookmarkStart w:colFirst="0" w:colLast="0" w:name="_yz5lffvwfoiw" w:id="7"/>
      <w:bookmarkEnd w:id="7"/>
      <w:r w:rsidDel="00000000" w:rsidR="00000000" w:rsidRPr="00000000">
        <w:rPr>
          <w:rtl w:val="0"/>
        </w:rPr>
        <w:t xml:space="preserve">1.5. Есть ли среди эпических предметов популярные, которые покупают чаще всего?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8.75"/>
        <w:gridCol w:w="2208.75"/>
        <w:gridCol w:w="2208.75"/>
        <w:gridCol w:w="2208.75"/>
        <w:tblGridChange w:id="0">
          <w:tblGrid>
            <w:gridCol w:w="2208.75"/>
            <w:gridCol w:w="2208.75"/>
            <w:gridCol w:w="2208.75"/>
            <w:gridCol w:w="2208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Кол-во продаж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Доля продаж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Доля покупателей(%)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Book of Legends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Bag of Holding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271875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Necklace of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Wisdom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13828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Gems of Insight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Silver Flask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Book of Legends и Bag of Holding являются самыми популярными эпическими предметами с наиболее высокой долей покупателей. Стоит проанализировать их основные компоненты для создания новых успешных продуктов или улучшения менее востребованных предметов (таких как Gems of Insight и Silver Flask). 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</w:t>
      </w:r>
      <w:r w:rsidDel="00000000" w:rsidR="00000000" w:rsidRPr="00000000">
        <w:rPr>
          <w:highlight w:val="white"/>
          <w:rtl w:val="0"/>
        </w:rPr>
        <w:t xml:space="preserve">анные показывают четкую иерархию популярности среди эпических предметов. Основное внимание стоит уделить успешным товарам для дальнейшего развития и удержания интереса покупателей, а также рассмотреть стратегии для повышения привлекательности менее популярных товаров.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638800" cy="3343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spacing w:after="240" w:before="240" w:lineRule="auto"/>
        <w:rPr/>
      </w:pPr>
      <w:bookmarkStart w:colFirst="0" w:colLast="0" w:name="_z143u5np220b" w:id="8"/>
      <w:bookmarkEnd w:id="8"/>
      <w:r w:rsidDel="00000000" w:rsidR="00000000" w:rsidRPr="00000000">
        <w:rPr>
          <w:rtl w:val="0"/>
        </w:rPr>
        <w:t xml:space="preserve">2. Результаты решения ad hoc задач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2.1. Существует ли зависимость активности игроков по совершению внутриигровых покупок от расы персонажа?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4448175" cy="2667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Human является наиболее активной расой в плане совершения внутриигровых покупок, в то время как Demon показывают наименьшую активность, что может указывать на меньший интерес к эпическим предметам среди этих рас.</w:t>
      </w:r>
    </w:p>
    <w:p w:rsidR="00000000" w:rsidDel="00000000" w:rsidP="00000000" w:rsidRDefault="00000000" w:rsidRPr="00000000" w14:paraId="0000004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rFonts w:ascii="Roboto" w:cs="Roboto" w:eastAsia="Roboto" w:hAnsi="Roboto"/>
          <w:color w:val="66666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</w:rPr>
        <w:drawing>
          <wp:inline distB="114300" distT="114300" distL="114300" distR="114300">
            <wp:extent cx="5731200" cy="3035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Средняя стоимость покупки варьируется в зависимости от расы. У Northman самая высокая стоимость одной покупки (761,48), у Human - самая низка (403,07).</w:t>
      </w:r>
    </w:p>
    <w:p w:rsidR="00000000" w:rsidDel="00000000" w:rsidP="00000000" w:rsidRDefault="00000000" w:rsidRPr="00000000" w14:paraId="0000004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rPr/>
      </w:pPr>
      <w:r w:rsidDel="00000000" w:rsidR="00000000" w:rsidRPr="00000000">
        <w:rPr>
          <w:rtl w:val="0"/>
        </w:rPr>
        <w:t xml:space="preserve">Гипотеза о том, что прохождение игры за персонажей разных рас требует примерно равного количества покупок эпических предметов, подтверждается: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Несмотря на то, что доля платящих игроков и общая активность по совершению покупок в целом схожа между расами, различия в количестве и средних расходах указывают на то, что некоторые расы могут быть более склонны к покупке эпических предметов.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Например, Human и Northman значительно опережают другие расы по количеству покупок и средним расходам.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Демоны имеют высокую долю платящих игроков, но делают меньше покупок и тратят меньше.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>
          <w:i w:val="1"/>
          <w:color w:val="0b5394"/>
        </w:rPr>
      </w:pPr>
      <w:r w:rsidDel="00000000" w:rsidR="00000000" w:rsidRPr="00000000">
        <w:rPr>
          <w:rtl w:val="0"/>
        </w:rPr>
        <w:t xml:space="preserve">В целом, хотя активность игроков по покупке эпических предметов показывает определенную равномерность среди различных рас, существуют заметные различия в количестве покупок и средних расходах. Это может свидетельствовать о том, что механика внутриигровых покупок не полностью нейтральна по отношению к расе персонажа, некоторые расы более предрасположены к совершению только покупки, а некоторые - к регулярной трате денег в игре.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tj8j34h98j42" w:id="9"/>
      <w:bookmarkEnd w:id="9"/>
      <w:r w:rsidDel="00000000" w:rsidR="00000000" w:rsidRPr="00000000">
        <w:rPr>
          <w:rtl w:val="0"/>
        </w:rPr>
        <w:t xml:space="preserve">2.2. Как часто игроки совершают покупки?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Можно выделить три основные группы игроков, каждая из которых имеет свои характеристики по количеству покупок и частоте их совершения: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5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320"/>
        <w:gridCol w:w="1470"/>
        <w:gridCol w:w="1800"/>
        <w:gridCol w:w="1935"/>
        <w:gridCol w:w="1890"/>
        <w:tblGridChange w:id="0">
          <w:tblGrid>
            <w:gridCol w:w="1680"/>
            <w:gridCol w:w="1320"/>
            <w:gridCol w:w="1470"/>
            <w:gridCol w:w="1800"/>
            <w:gridCol w:w="193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rtl w:val="0"/>
              </w:rPr>
              <w:t xml:space="preserve">Группа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rtl w:val="0"/>
              </w:rPr>
              <w:t xml:space="preserve">Кол-во игроков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rtl w:val="0"/>
              </w:rPr>
              <w:t xml:space="preserve">Платящие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rtl w:val="0"/>
              </w:rPr>
              <w:t xml:space="preserve">Доля платящих, 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rtl w:val="0"/>
              </w:rPr>
              <w:t xml:space="preserve">Среднее кол-во покупок/игрок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1a1a1a"/>
                <w:sz w:val="23"/>
                <w:szCs w:val="23"/>
                <w:rtl w:val="0"/>
              </w:rPr>
              <w:t xml:space="preserve">Средняя частота покупок, день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Высокая частота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2514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18,3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396,90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3,24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Умеренная частота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2514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442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17,5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58,95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7,39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Низкая частота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2514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17,18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33,66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1a1a1a"/>
                <w:sz w:val="23"/>
                <w:szCs w:val="23"/>
              </w:rPr>
            </w:pPr>
            <w:r w:rsidDel="00000000" w:rsidR="00000000" w:rsidRPr="00000000">
              <w:rPr>
                <w:color w:val="1a1a1a"/>
                <w:sz w:val="23"/>
                <w:szCs w:val="23"/>
                <w:rtl w:val="0"/>
              </w:rPr>
              <w:t xml:space="preserve">12,9</w:t>
            </w:r>
          </w:p>
        </w:tc>
      </w:tr>
    </w:tbl>
    <w:p w:rsidR="00000000" w:rsidDel="00000000" w:rsidP="00000000" w:rsidRDefault="00000000" w:rsidRPr="00000000" w14:paraId="0000006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0" w:firstLine="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Группа с высокой частотой покупок демонстрирует значительно большее среднее количество покупок на игрока (396.90) по сравнению с другими группами.</w:t>
      </w:r>
    </w:p>
    <w:p w:rsidR="00000000" w:rsidDel="00000000" w:rsidP="00000000" w:rsidRDefault="00000000" w:rsidRPr="00000000" w14:paraId="0000006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0" w:firstLine="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Доля платящих игроков в группе с высокой частотой (18.3%) немного выше, чем в группе с умеренной (17.5%) и низкой частотой (17.18%). Однако различия не являются значительными, что указывает на схожесть в доле платящих среди всех групп.</w:t>
      </w:r>
    </w:p>
    <w:p w:rsidR="00000000" w:rsidDel="00000000" w:rsidP="00000000" w:rsidRDefault="00000000" w:rsidRPr="00000000" w14:paraId="0000006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0" w:firstLine="0"/>
        <w:rPr>
          <w:color w:val="1a1a1a"/>
        </w:rPr>
      </w:pPr>
      <w:r w:rsidDel="00000000" w:rsidR="00000000" w:rsidRPr="00000000">
        <w:rPr>
          <w:color w:val="1a1a1a"/>
          <w:rtl w:val="0"/>
        </w:rPr>
        <w:t xml:space="preserve">Группы игроков различаются по количеству и частоте совершения покупок, при этом группа с высокой частотой демонстрирует наибольшую активность и вовлеченность в внутриигровые покупки. Несмотря на это, доля платящих игроков остается относительно стабильной среди всех групп, что может указывать на схожие механизмы монетизации, акции и специальные предложения для разных категорий игроков.</w:t>
      </w:r>
    </w:p>
    <w:p w:rsidR="00000000" w:rsidDel="00000000" w:rsidP="00000000" w:rsidRDefault="00000000" w:rsidRPr="00000000" w14:paraId="0000007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a1a1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after="240" w:before="240" w:lineRule="auto"/>
        <w:rPr>
          <w:i w:val="1"/>
        </w:rPr>
      </w:pPr>
      <w:bookmarkStart w:colFirst="0" w:colLast="0" w:name="_nwm5lzghpmz8" w:id="10"/>
      <w:bookmarkEnd w:id="10"/>
      <w:r w:rsidDel="00000000" w:rsidR="00000000" w:rsidRPr="00000000">
        <w:rPr>
          <w:rtl w:val="0"/>
        </w:rPr>
        <w:t xml:space="preserve">3. Общие выводы и рекомендации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Для улучшения финансовых показателей игры и увеличения удовлетворенности аудитории стоит: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Разработать специальные предложения и промо-акции для менее активных рас, чтобы повысить их вовлеченность.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Внедрить персонализированные акции для платящих игроков с целью повышения их лояльности.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Анализировать аномальные транзакции для выявления ошибок и улучшения пользовательского опыта.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Уделить внимание успешным продуктам и использовать характеристики их компонентов для разработки новых товаров.</w:t>
      </w:r>
    </w:p>
    <w:p w:rsidR="00000000" w:rsidDel="00000000" w:rsidP="00000000" w:rsidRDefault="00000000" w:rsidRPr="00000000" w14:paraId="0000007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Выполнение этих шагов в дальнейшем приведет к росту доходов от внутриигровых покупок и привлечению новых пользователей.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