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b/>
          <w:color w:val="555B66"/>
          <w:sz w:val="22"/>
        </w:rPr>
        <w:t>BUCHAREST UNIVERSITY OF ECONOMIC STUDIES</w:t>
      </w:r>
    </w:p>
    <w:p>
      <w:pPr>
        <w:jc w:val="center"/>
      </w:pPr>
      <w:r>
        <w:rPr>
          <w:color w:val="555B66"/>
          <w:sz w:val="20"/>
        </w:rPr>
        <w:t>Faculty of Cybernetics, Statistics and Economic Informatics</w:t>
      </w:r>
    </w:p>
    <w:p/>
    <w:p>
      <w:pPr>
        <w:jc w:val="center"/>
      </w:pPr>
      <w:r>
        <w:rPr>
          <w:b/>
          <w:color w:val="142A4A"/>
          <w:sz w:val="48"/>
        </w:rPr>
        <w:t>Architecture and Evaluation of a SIEM Integrating Unsupervised Anomaly Detection and Knowledge-Grounded Language Models</w:t>
      </w:r>
    </w:p>
    <w:p>
      <w:pPr>
        <w:jc w:val="center"/>
      </w:pPr>
      <w:r>
        <w:rPr>
          <w:i/>
          <w:color w:val="106B8C"/>
          <w:sz w:val="30"/>
        </w:rPr>
        <w:t>Extended Technical &amp; Commercial Report</w:t>
      </w:r>
    </w:p>
    <w:p/>
    <w:p>
      <w:pPr>
        <w:jc w:val="center"/>
      </w:pPr>
      <w:r>
        <w:rPr>
          <w:color w:val="555B66"/>
          <w:sz w:val="22"/>
        </w:rPr>
        <w:t>Anomaly ensemble · Hybrid RAG · Agentic CVE ingestion — fully local, fully auditable</w:t>
      </w:r>
    </w:p>
    <w:p/>
    <w:p/>
    <w:p/>
    <w:p/>
    <w:p/>
    <w:p/>
    <w:p>
      <w:pPr>
        <w:jc w:val="center"/>
      </w:pPr>
      <w:r>
        <w:rPr>
          <w:b/>
          <w:color w:val="1A1D24"/>
          <w:sz w:val="26"/>
        </w:rPr>
        <w:t>Secărea Diana Maria</w:t>
      </w:r>
    </w:p>
    <w:p>
      <w:pPr>
        <w:jc w:val="center"/>
      </w:pPr>
      <w:r>
        <w:rPr>
          <w:color w:val="555B66"/>
          <w:sz w:val="22"/>
        </w:rPr>
        <w:t>Coordinator: prof. univ. dr. Cătălin Boja   ·   Bucharest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Abstract</w:t>
      </w:r>
    </w:p>
    <w:p>
      <w:pPr>
        <w:jc w:val="both"/>
      </w:pPr>
      <w:r>
        <w:rPr>
          <w:i w:val="0"/>
        </w:rPr>
        <w:t>Traditional Security Information and Event Management (SIEM) platforms rely on predefined, signature-based rules, which leaves them oblivious to zero-day and polymorphic threats and unable to convey how anomalous, or how urgent, a given alert really is. This work presents the AI Threat Engine, an artificial-intelligence layer built on top of the open-source Wazuh SIEM that addresses these limitations through three complementary components. First, an unsupervised anomaly-detection ensemble — an Isolation Forest fitted with contamination='auto' and a bottleneck autoencoder (16→8→4→8→16) trained by iterative self-cleaning — assigns every alert a priority score in [0,100] from sixteen engineered features, with no human labels required at any stage. Second, a Retrieval-Augmented Generation (RAG) copilot grounds a locally hosted large language model (llama3.2 via Ollama) in a curated knowledge base of MITRE ATT&amp;CK techniques, Sigma rules, CISA vulnerabilities and internal runbooks, retrieved through a hybrid dense (all-MiniLM-L6-v2) and sparse (BM25) pipeline fused with Reciprocal Rank Fusion, so that every explanation is traceable to a specific source. Third, a scheduled agentic workflow keeps that knowledge base current by fetching, de-duplicating, environment-boosting and LLM-scoring new CVEs before routing each decision into an auditable PostgreSQL ledger. Evaluated on 2,171 real alerts, the ensemble attains 83.4% precision, 95.9% recall, an F1 of 89.2% and an 8.0% false-positive rate, while the RAG layer reaches an 82.9% retrieval hit-rate and 98.3% citation precision. Crucially, the entire system runs on-premises with no external API calls, making it suitable for privacy-sensitive and air-gapped deployments. This report extends the thesis with concrete pathways toward securing mobile and AI-native applications, engineering for extreme reliability, an adversarial penetration-testing programme, a guardrail catalogue, a multi-agent evolution, and a go-to-market strategy.</w:t>
      </w:r>
    </w:p>
    <w:p>
      <w:r>
        <w:br w:type="page"/>
      </w:r>
    </w:p>
    <w:p>
      <w:pPr>
        <w:pStyle w:val="Heading1"/>
      </w:pPr>
      <w:r>
        <w:t>2. Hardening the Engine to Secure Mobile Apps and AI-System Apps</w:t>
      </w:r>
    </w:p>
    <w:p>
      <w:pPr>
        <w:jc w:val="both"/>
      </w:pPr>
      <w:r>
        <w:rPr>
          <w:i w:val="0"/>
        </w:rPr>
        <w:t>The current engine is host- and network-centric. Two of the fastest-growing attack surfaces — mobile applications and AI-native (LLM-powered) applications — can be brought under the same detect-explain-maintain loop with focused extensions. Each subsection is framed as current state → gap → concrete upgrade.</w:t>
      </w:r>
    </w:p>
    <w:p>
      <w:pPr>
        <w:pStyle w:val="Heading2"/>
      </w:pPr>
      <w:r>
        <w:t>2.1 Securing Mobile Applications</w:t>
      </w:r>
    </w:p>
    <w:p>
      <w:pPr>
        <w:jc w:val="both"/>
      </w:pPr>
      <w:r>
        <w:rPr>
          <w:i w:val="0"/>
        </w:rPr>
        <w:t>Current state. The engine ingests Linux host telemetry (auth.log, syscheck, rootcheck, network events). It has no visibility into mobile endpoints.</w:t>
      </w:r>
    </w:p>
    <w:p>
      <w:pPr>
        <w:jc w:val="both"/>
      </w:pPr>
      <w:r>
        <w:rPr>
          <w:i w:val="0"/>
        </w:rPr>
        <w:t>Gap. Mobile threats — rooted/jailbroken devices, sideloaded APKs, certificate-pinning bypass, overlay attacks, malicious SDKs and abused accessibility services — never reach the pipeline.</w:t>
      </w:r>
    </w:p>
    <w:p>
      <w:pPr>
        <w:jc w:val="both"/>
      </w:pPr>
      <w:r>
        <w:rPr>
          <w:i w:val="0"/>
        </w:rPr>
        <w:t>Concrete upgrades:</w:t>
      </w:r>
    </w:p>
    <w:p>
      <w:pPr>
        <w:pStyle w:val="ListBullet"/>
        <w:jc w:val="both"/>
      </w:pPr>
      <w:r>
        <w:rPr>
          <w:b/>
        </w:rPr>
        <w:t>Telemetry ingestion —</w:t>
      </w:r>
      <w:r>
        <w:t xml:space="preserve"> ingest MDM/EMM telemetry (Intune, Jamf, MobileIron) plus Android logcat and iOS unified logs through a Wazuh mobile agent or a syslog forwarder.</w:t>
      </w:r>
    </w:p>
    <w:p>
      <w:pPr>
        <w:pStyle w:val="ListBullet"/>
        <w:jc w:val="both"/>
      </w:pPr>
      <w:r>
        <w:rPr>
          <w:b/>
        </w:rPr>
        <w:t>Mobile feature set —</w:t>
      </w:r>
      <w:r>
        <w:t xml:space="preserve"> add a mobile feature extractor mirroring the 16-feature design: device-integrity flag (root/jailbreak), app-signature mismatch, cert-pinning-failure count, permission-escalation events, install-source (sideload) flag, and off-market package origin.</w:t>
      </w:r>
    </w:p>
    <w:p>
      <w:pPr>
        <w:pStyle w:val="ListBullet"/>
        <w:jc w:val="both"/>
      </w:pPr>
      <w:r>
        <w:rPr>
          <w:b/>
        </w:rPr>
        <w:t>Knowledge grounding —</w:t>
      </w:r>
      <w:r>
        <w:t xml:space="preserve"> index the MITRE ATT&amp;CK for Mobile matrix and OWASP MASVS/MASTG controls into the RAG corpus so the copilot maps mobile alerts to techniques such as T1626 (abuse elevation) and explains the relevant MASVS requirement.</w:t>
      </w:r>
    </w:p>
    <w:p>
      <w:pPr>
        <w:pStyle w:val="ListBullet"/>
        <w:jc w:val="both"/>
      </w:pPr>
      <w:r>
        <w:rPr>
          <w:b/>
        </w:rPr>
        <w:t>Response —</w:t>
      </w:r>
      <w:r>
        <w:t xml:space="preserve"> add response playbooks (revoke device, force re-enrolment, block app) as uploaded runbooks the analyst can be walked through.</w:t>
      </w:r>
    </w:p>
    <w:p>
      <w:pPr>
        <w:pStyle w:val="Heading2"/>
      </w:pPr>
      <w:r>
        <w:t>2.2 Securing AI-System (LLM-Powered) Applications</w:t>
      </w:r>
    </w:p>
    <w:p>
      <w:pPr>
        <w:jc w:val="both"/>
      </w:pPr>
      <w:r>
        <w:rPr>
          <w:i w:val="0"/>
        </w:rPr>
        <w:t>Current state. The engine uses an LLM defensively but does not monitor other AI applications.</w:t>
      </w:r>
    </w:p>
    <w:p>
      <w:pPr>
        <w:jc w:val="both"/>
      </w:pPr>
      <w:r>
        <w:rPr>
          <w:i w:val="0"/>
        </w:rPr>
        <w:t>Gap. Organisations increasingly deploy their own LLM apps, which introduce prompt injection, jailbreaks, training-data exfiltration, model denial-of-wallet and unsafe tool-use — none of which classical SIEM rules detect.</w:t>
      </w:r>
    </w:p>
    <w:p>
      <w:pPr>
        <w:jc w:val="both"/>
      </w:pPr>
      <w:r>
        <w:rPr>
          <w:i w:val="0"/>
        </w:rPr>
        <w:t>Concrete upgrades:</w:t>
      </w:r>
    </w:p>
    <w:p>
      <w:pPr>
        <w:pStyle w:val="ListBullet"/>
        <w:jc w:val="both"/>
      </w:pPr>
      <w:r>
        <w:rPr>
          <w:b/>
        </w:rPr>
        <w:t>Inference-log monitoring —</w:t>
      </w:r>
      <w:r>
        <w:t xml:space="preserve"> treat LLM inference logs (prompts, retrieved context, tool calls, completions) as a new event source; extract features such as prompt-injection-pattern score, jailbreak-lexicon hits, output-PII count, tool-call anomaly, and token-burn rate, then score them with the same ensemble.</w:t>
      </w:r>
    </w:p>
    <w:p>
      <w:pPr>
        <w:pStyle w:val="ListBullet"/>
        <w:jc w:val="both"/>
      </w:pPr>
      <w:r>
        <w:rPr>
          <w:b/>
        </w:rPr>
        <w:t>ATLAS grounding —</w:t>
      </w:r>
      <w:r>
        <w:t xml:space="preserve"> map alerts to the MITRE ATLAS adversarial-ML matrix (e.g., prompt injection, model evasion, data exfiltration) and index ATLAS into the RAG corpus.</w:t>
      </w:r>
    </w:p>
    <w:p>
      <w:pPr>
        <w:pStyle w:val="ListBullet"/>
        <w:jc w:val="both"/>
      </w:pPr>
      <w:r>
        <w:rPr>
          <w:b/>
        </w:rPr>
        <w:t>Output scanning —</w:t>
      </w:r>
      <w:r>
        <w:t xml:space="preserve"> run an output guardrail that scans completions for leaked secrets, unsafe actions and policy violations before they reach the user, raising a scored alert on violation.</w:t>
      </w:r>
    </w:p>
    <w:p>
      <w:pPr>
        <w:pStyle w:val="ListBullet"/>
        <w:jc w:val="both"/>
      </w:pPr>
      <w:r>
        <w:rPr>
          <w:b/>
        </w:rPr>
        <w:t>Abuse detection —</w:t>
      </w:r>
      <w:r>
        <w:t xml:space="preserve"> detect denial-of-wallet and abuse via anomaly scoring on per-key request-rate and token-consumption features.</w:t>
      </w:r>
    </w:p>
    <w:p>
      <w:pPr>
        <w:pStyle w:val="Heading1"/>
      </w:pPr>
      <w:r>
        <w:t>3. Engineering for Extreme Reliability</w:t>
      </w:r>
    </w:p>
    <w:p>
      <w:pPr>
        <w:jc w:val="both"/>
      </w:pPr>
      <w:r>
        <w:rPr>
          <w:i w:val="0"/>
        </w:rPr>
        <w:t>Moving from a working prototype to a system organisations trust in production requires disciplined reliability engineering across the ML, RAG and data tiers.</w:t>
      </w:r>
    </w:p>
    <w:p>
      <w:pPr>
        <w:pStyle w:val="ListBullet"/>
        <w:jc w:val="both"/>
      </w:pPr>
      <w:r>
        <w:rPr>
          <w:b/>
        </w:rPr>
        <w:t>Model-drift detection —</w:t>
      </w:r>
      <w:r>
        <w:t xml:space="preserve"> monitor the live score distribution and feature statistics; trigger retraining when the population shifts (concept drift). The autoencoder's iterative-trimming procedure already re-estimates the clean distribution from scratch, which makes scheduled retraining safe.</w:t>
      </w:r>
    </w:p>
    <w:p>
      <w:pPr>
        <w:pStyle w:val="ListBullet"/>
        <w:jc w:val="both"/>
      </w:pPr>
      <w:r>
        <w:rPr>
          <w:b/>
        </w:rPr>
        <w:t>Graceful degradation —</w:t>
      </w:r>
      <w:r>
        <w:t xml:space="preserve"> the ensemble already provides model redundancy — if one detector degrades, the other still scores. Extend this with a rules-only fallback path when both models are unavailable.</w:t>
      </w:r>
    </w:p>
    <w:p>
      <w:pPr>
        <w:pStyle w:val="ListBullet"/>
        <w:jc w:val="both"/>
      </w:pPr>
      <w:r>
        <w:rPr>
          <w:b/>
        </w:rPr>
        <w:t>Circuit breakers —</w:t>
      </w:r>
      <w:r>
        <w:t xml:space="preserve"> the CVE agent already fails safe when the LLM is down (routes to the review queue rather than dropping). Generalise this: wrap every external dependency (Ollama, Qdrant, NVD) in a circuit breaker with health-checks and exponential backoff.</w:t>
      </w:r>
    </w:p>
    <w:p>
      <w:pPr>
        <w:pStyle w:val="ListBullet"/>
        <w:jc w:val="both"/>
      </w:pPr>
      <w:r>
        <w:rPr>
          <w:b/>
        </w:rPr>
        <w:t>Run-state integrity —</w:t>
      </w:r>
      <w:r>
        <w:t xml:space="preserve"> close the ingestion_log run row in a try/finally so a mid-run crash marks the run 'failed' instead of leaving it open — a concrete robustness fix already identified.</w:t>
      </w:r>
    </w:p>
    <w:p>
      <w:pPr>
        <w:pStyle w:val="ListBullet"/>
        <w:jc w:val="both"/>
      </w:pPr>
      <w:r>
        <w:rPr>
          <w:b/>
        </w:rPr>
        <w:t>Horizontal scale —</w:t>
      </w:r>
      <w:r>
        <w:t xml:space="preserve"> place a durable message queue (Kafka/Redis Streams) between Wazuh logcollector and the scorer so bursts are buffered and the scorer can scale horizontally behind it.</w:t>
      </w:r>
    </w:p>
    <w:p>
      <w:pPr>
        <w:pStyle w:val="ListBullet"/>
        <w:jc w:val="both"/>
      </w:pPr>
      <w:r>
        <w:rPr>
          <w:b/>
        </w:rPr>
        <w:t>Data durability —</w:t>
      </w:r>
      <w:r>
        <w:t xml:space="preserve"> run PostgreSQL in a primary/replica high-availability configuration; schedule snapshots of the Qdrant volume (which is disposable and re-indexable, so recovery is fast).</w:t>
      </w:r>
    </w:p>
    <w:p>
      <w:pPr>
        <w:pStyle w:val="ListBullet"/>
        <w:jc w:val="both"/>
      </w:pPr>
      <w:r>
        <w:rPr>
          <w:b/>
        </w:rPr>
        <w:t>Observability —</w:t>
      </w:r>
      <w:r>
        <w:t xml:space="preserve"> add metrics (Prometheus), tracing and structured logs for end-to-end latency, scoring latency, LLM time-to-first-token and queue depth.</w:t>
      </w:r>
    </w:p>
    <w:p>
      <w:pPr>
        <w:jc w:val="both"/>
      </w:pPr>
      <w:r>
        <w:rPr>
          <w:i w:val="0"/>
        </w:rPr>
        <w:t>Target service levels: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Target (SLO)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Scoring latency (p95)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&lt; 50 ms/alert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keeps the live dashboard real-time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End-to-end alert→verdict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&lt; 2 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analyst sees scored alerts near-instantly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Detection recall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≥ 95%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matches the evaluated ensemble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False-positive rate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≤ 8%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analyst trust threshold from evaluation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Availability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99.9% (scoring path)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detection must not have blind windows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RAG citation precision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≥ 95%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grounding must stay trustworthy</w:t>
            </w:r>
          </w:p>
        </w:tc>
      </w:tr>
    </w:tbl>
    <w:p/>
    <w:p>
      <w:r>
        <w:br w:type="page"/>
      </w:r>
    </w:p>
    <w:p>
      <w:pPr>
        <w:pStyle w:val="Heading1"/>
      </w:pPr>
      <w:r>
        <w:t>4. Penetration-Testing Programme</w:t>
      </w:r>
    </w:p>
    <w:p>
      <w:pPr>
        <w:jc w:val="both"/>
      </w:pPr>
      <w:r>
        <w:rPr>
          <w:i w:val="0"/>
        </w:rPr>
        <w:t>Because the engine is itself a security product, it must be tested adversarially. The programme below follows a standard methodology (scope → recon → exploitation → reporting) but adds the AI-specific dimensions that make this system unusual.</w:t>
      </w:r>
    </w:p>
    <w:p>
      <w:pPr>
        <w:pStyle w:val="Heading2"/>
      </w:pPr>
      <w:r>
        <w:t>4.1 Scope and Rules of Engagement</w:t>
      </w:r>
    </w:p>
    <w:p>
      <w:pPr>
        <w:jc w:val="both"/>
      </w:pPr>
      <w:r>
        <w:rPr>
          <w:i w:val="0"/>
        </w:rPr>
        <w:t>Test in an isolated replica of production, never against live customer data. Define in-scope assets (Flask API, Qdrant, PostgreSQL, Ollama, the CVE fetcher), a testing window, and a rollback plan. Obtain written authorisation before any test.</w:t>
      </w:r>
    </w:p>
    <w:p>
      <w:pPr>
        <w:pStyle w:val="Heading2"/>
      </w:pPr>
      <w:r>
        <w:t>4.2 Application &amp; Infrastructure Surface</w:t>
      </w:r>
    </w:p>
    <w:p>
      <w:pPr>
        <w:pStyle w:val="ListBullet"/>
        <w:jc w:val="both"/>
      </w:pPr>
      <w:r>
        <w:rPr>
          <w:b/>
        </w:rPr>
        <w:t>API —</w:t>
      </w:r>
      <w:r>
        <w:t xml:space="preserve"> test every /api/* route for authentication, authorisation and rate-limit bypass; the current Flask-Limiter and planned bearer-token gateway are the controls under test.</w:t>
      </w:r>
    </w:p>
    <w:p>
      <w:pPr>
        <w:pStyle w:val="ListBullet"/>
        <w:jc w:val="both"/>
      </w:pPr>
      <w:r>
        <w:rPr>
          <w:b/>
        </w:rPr>
        <w:t>SSRF —</w:t>
      </w:r>
      <w:r>
        <w:t xml:space="preserve"> the CVE fetcher makes outbound requests to NVD/CISA — test for Server-Side Request Forgery and for poisoned upstream responses.</w:t>
      </w:r>
    </w:p>
    <w:p>
      <w:pPr>
        <w:pStyle w:val="ListBullet"/>
        <w:jc w:val="both"/>
      </w:pPr>
      <w:r>
        <w:rPr>
          <w:b/>
        </w:rPr>
        <w:t>Upload —</w:t>
      </w:r>
      <w:r>
        <w:t xml:space="preserve"> test the document-upload endpoint for path traversal, oversized payloads, and malicious content that survives into the vector store.</w:t>
      </w:r>
    </w:p>
    <w:p>
      <w:pPr>
        <w:pStyle w:val="Heading2"/>
      </w:pPr>
      <w:r>
        <w:t>4.3 Adversarial Machine-Learning Testing</w:t>
      </w:r>
    </w:p>
    <w:p>
      <w:pPr>
        <w:pStyle w:val="ListBullet"/>
        <w:jc w:val="both"/>
      </w:pPr>
      <w:r>
        <w:rPr>
          <w:b/>
        </w:rPr>
        <w:t>Evasion —</w:t>
      </w:r>
      <w:r>
        <w:t xml:space="preserve"> attempt low-and-slow attacks that blend into the density (to evade the Isolation Forest) and manifold-mimicry attacks that reproduce normal feature combinations (to evade the autoencoder). The thesis argument — that these two evasion strategies are contradictory — is exactly the hypothesis this test validates.</w:t>
      </w:r>
    </w:p>
    <w:p>
      <w:pPr>
        <w:pStyle w:val="ListBullet"/>
        <w:jc w:val="both"/>
      </w:pPr>
      <w:r>
        <w:rPr>
          <w:b/>
        </w:rPr>
        <w:t>Data poisoning —</w:t>
      </w:r>
      <w:r>
        <w:t xml:space="preserve"> inject crafted benign-looking alerts into the training corpus and measure the shift in the score threshold; verify iterative trimming discards them.</w:t>
      </w:r>
    </w:p>
    <w:p>
      <w:pPr>
        <w:pStyle w:val="ListBullet"/>
        <w:jc w:val="both"/>
      </w:pPr>
      <w:r>
        <w:rPr>
          <w:b/>
        </w:rPr>
        <w:t>Membership inference —</w:t>
      </w:r>
      <w:r>
        <w:t xml:space="preserve"> attempt membership inference to determine whether a specific alert was in the training set (a privacy concern for regulated deployments).</w:t>
      </w:r>
    </w:p>
    <w:p>
      <w:pPr>
        <w:pStyle w:val="Heading2"/>
      </w:pPr>
      <w:r>
        <w:t>4.4 RAG and LLM Red-Teaming</w:t>
      </w:r>
    </w:p>
    <w:p>
      <w:pPr>
        <w:pStyle w:val="ListBullet"/>
        <w:jc w:val="both"/>
      </w:pPr>
      <w:r>
        <w:rPr>
          <w:b/>
        </w:rPr>
        <w:t>Indirect prompt injection —</w:t>
      </w:r>
      <w:r>
        <w:t xml:space="preserve"> upload a document containing injected instructions and verify the system prompt's grounding constraints hold (the anti-hallucination guards are the control under test).</w:t>
      </w:r>
    </w:p>
    <w:p>
      <w:pPr>
        <w:pStyle w:val="ListBullet"/>
        <w:jc w:val="both"/>
      </w:pPr>
      <w:r>
        <w:rPr>
          <w:b/>
        </w:rPr>
        <w:t>Retrieval poisoning —</w:t>
      </w:r>
      <w:r>
        <w:t xml:space="preserve"> index adversarial 'intel' and check whether it can be surfaced to mislead an analyst; test the pending-review quarantine as the mitigation.</w:t>
      </w:r>
    </w:p>
    <w:p>
      <w:pPr>
        <w:pStyle w:val="ListBullet"/>
        <w:jc w:val="both"/>
      </w:pPr>
      <w:r>
        <w:rPr>
          <w:b/>
        </w:rPr>
        <w:t>Jailbreak / citation —</w:t>
      </w:r>
      <w:r>
        <w:t xml:space="preserve"> attempt jailbreaks and citation-spoofing (claiming a source that was not retrieved); the 98.3% citation-precision metric is the baseline this test attacks.</w:t>
      </w:r>
    </w:p>
    <w:p>
      <w:pPr>
        <w:pStyle w:val="ListBullet"/>
        <w:jc w:val="both"/>
      </w:pPr>
      <w:r>
        <w:rPr>
          <w:b/>
        </w:rPr>
        <w:t>Log injection —</w:t>
      </w:r>
      <w:r>
        <w:t xml:space="preserve"> forge or suppress log lines to create false alerts or hide real ones.</w:t>
      </w:r>
    </w:p>
    <w:p>
      <w:pPr>
        <w:pStyle w:val="Heading2"/>
      </w:pPr>
      <w:r>
        <w:t>4.5 Tooling and Reporting</w:t>
      </w:r>
    </w:p>
    <w:p>
      <w:pPr>
        <w:jc w:val="both"/>
      </w:pPr>
      <w:r>
        <w:rPr>
          <w:i w:val="0"/>
        </w:rPr>
        <w:t>Recommended tooling: Burp Suite and nuclei for the web surface; garak and Microsoft PyRIT for LLM red-teaming; the Adversarial Robustness Toolbox (ART) for evasion/poisoning; custom scripts for the feature-space attacks. Report every finding with a severity rating and a remediation.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Test area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Example technique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Severity if unmitigated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auth / rate-limit bypass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Burp, nuclei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CVE fetcher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SSRF, upstream poisoning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Burp, custom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ML evasion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low-and-slow / manifold mimicry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ART, custom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Data poisoning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training-corpus injection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custom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RAG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indirect prompt injection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garak, PyRIT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LLM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jailbreak / citation spoof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garak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Logs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alert forging / suppression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custom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High</w:t>
            </w:r>
          </w:p>
        </w:tc>
      </w:tr>
    </w:tbl>
    <w:p/>
    <w:p>
      <w:r>
        <w:br w:type="page"/>
      </w:r>
    </w:p>
    <w:p>
      <w:pPr>
        <w:pStyle w:val="Heading1"/>
      </w:pPr>
      <w:r>
        <w:t>5. Guardrails to Add</w:t>
      </w:r>
    </w:p>
    <w:p>
      <w:pPr>
        <w:jc w:val="both"/>
      </w:pPr>
      <w:r>
        <w:rPr>
          <w:i w:val="0"/>
        </w:rPr>
        <w:t>Guardrails convert the pentest findings into standing controls, organised by pipeline stage.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Threat it blocks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How to implement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Upload sanitisation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malicious / oversized docs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type + size limits, content scan, strip active content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Source allow-listing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retrieval poisoning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only index signed / trusted intel; provenance tags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System-prompt hardening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prompt injection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answer-only-from-context + explicit refusal instruction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Output filtering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secret / PII leakage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regex + classifier scan of completions before display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Refusal calibration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hallucinated intel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unanswerable-query test set; verified 0 over-refusals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Structured-output validation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malformed agent actions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JSON-schema validation of LLM outputs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RBAC + audit logging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insider misuse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role-scoped API + immutable action log in Postgres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API gateway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abuse / DoS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bearer-token auth + Redis rate-limiting (30 rpm)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Secrets management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credential theft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vault / env isolation; no secrets in code or logs</w:t>
            </w:r>
          </w:p>
        </w:tc>
      </w:tr>
    </w:tbl>
    <w:p/>
    <w:p>
      <w:pPr>
        <w:pStyle w:val="Heading1"/>
      </w:pPr>
      <w:r>
        <w:t>6. Making the System More Agentic</w:t>
      </w:r>
    </w:p>
    <w:p>
      <w:pPr>
        <w:jc w:val="both"/>
      </w:pPr>
      <w:r>
        <w:rPr>
          <w:i w:val="0"/>
        </w:rPr>
        <w:t>The present agent performs one bounded LLM decision (CVE relevance scoring) inside a fixed control flow. That discipline — bounded reasoning, every action logged and reversible — is the correct foundation on which to add autonomy without losing auditability. The evolution is a supervised multi-agent SOC:</w:t>
      </w:r>
    </w:p>
    <w:p>
      <w:pPr>
        <w:pStyle w:val="ListNumber"/>
        <w:jc w:val="both"/>
      </w:pPr>
      <w:r>
        <w:rPr>
          <w:b/>
        </w:rPr>
        <w:t>Triage agent —</w:t>
      </w:r>
      <w:r>
        <w:t xml:space="preserve"> reads each scored alert, clusters related alerts, and decides whether escalation is warranted — replacing tier-1 queue triage.</w:t>
      </w:r>
    </w:p>
    <w:p>
      <w:pPr>
        <w:pStyle w:val="ListNumber"/>
        <w:jc w:val="both"/>
      </w:pPr>
      <w:r>
        <w:rPr>
          <w:b/>
        </w:rPr>
        <w:t>Investigation agent —</w:t>
      </w:r>
      <w:r>
        <w:t xml:space="preserve"> for escalated alerts, automatically issues the RAG queries, correlates across the alert history, and drafts a hypothesis with citations.</w:t>
      </w:r>
    </w:p>
    <w:p>
      <w:pPr>
        <w:pStyle w:val="ListNumber"/>
        <w:jc w:val="both"/>
      </w:pPr>
      <w:r>
        <w:rPr>
          <w:b/>
        </w:rPr>
        <w:t>Response agent —</w:t>
      </w:r>
      <w:r>
        <w:t xml:space="preserve"> proposes containment (block IP, isolate host, revoke key) and, within human-approved policy, executes it through Wazuh active-response.</w:t>
      </w:r>
    </w:p>
    <w:p>
      <w:pPr>
        <w:pStyle w:val="ListNumber"/>
        <w:jc w:val="both"/>
      </w:pPr>
      <w:r>
        <w:rPr>
          <w:b/>
        </w:rPr>
        <w:t>Supervisor —</w:t>
      </w:r>
      <w:r>
        <w:t xml:space="preserve"> orchestrates the others, enforces human-in-the-loop gates on any irreversible action, and maintains a shared case memory.</w:t>
      </w:r>
    </w:p>
    <w:p>
      <w:pPr>
        <w:jc w:val="both"/>
      </w:pPr>
      <w:r>
        <w:rPr>
          <w:i w:val="0"/>
        </w:rPr>
        <w:t>Supporting capabilities: tool-use / function-calling for the response actions; a two-tier memory (episodic per-case context plus the existing PostgreSQL ledger as durable long-term memory); an agent-evaluation harness that measures decision accuracy and time-to-containment; and hard guardrails on autonomy (allow-listed actions, blast-radius limits, mandatory approval for destructive operations). The governing principle stays constant: agentic does not mean unbounded.</w:t>
      </w:r>
    </w:p>
    <w:p>
      <w:r>
        <w:br w:type="page"/>
      </w:r>
    </w:p>
    <w:p>
      <w:pPr>
        <w:pStyle w:val="Heading1"/>
      </w:pPr>
      <w:r>
        <w:t>7. Go-to-Market: How to Sell It</w:t>
      </w:r>
    </w:p>
    <w:p>
      <w:pPr>
        <w:pStyle w:val="Heading2"/>
      </w:pPr>
      <w:r>
        <w:t>7.1 Who Buys It (Ideal Customer Profiles)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Why they buy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Primary value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MSSPs / MDR providers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score + explain across many tenants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analyst efficiency, margin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Mid-market SOCs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no budget for a big analyst team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one analyst does tier-1 work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Regulated SMBs (GDPR, health, finance)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data cannot leave premises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100% local, auditable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Defense / government / air-gapped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no cloud, full sovereignty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offline, no telemetry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AI-product companies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must secure their own LLM apps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ATLAS-aware detection</w:t>
            </w:r>
          </w:p>
        </w:tc>
      </w:tr>
    </w:tbl>
    <w:p/>
    <w:p>
      <w:pPr>
        <w:pStyle w:val="Heading2"/>
      </w:pPr>
      <w:r>
        <w:t>7.2 Value Proposition</w:t>
      </w:r>
    </w:p>
    <w:p>
      <w:pPr>
        <w:pStyle w:val="ListBullet"/>
        <w:jc w:val="both"/>
      </w:pPr>
      <w:r>
        <w:rPr>
          <w:b/>
        </w:rPr>
        <w:t>Local &amp; private —</w:t>
      </w:r>
      <w:r>
        <w:t xml:space="preserve"> runs entirely on-premises — decisive for privacy-sensitive and air-gapped buyers.</w:t>
      </w:r>
    </w:p>
    <w:p>
      <w:pPr>
        <w:pStyle w:val="ListBullet"/>
        <w:jc w:val="both"/>
      </w:pPr>
      <w:r>
        <w:rPr>
          <w:b/>
        </w:rPr>
        <w:t>No per-token cost —</w:t>
      </w:r>
      <w:r>
        <w:t xml:space="preserve"> local inference means no per-token API bill, unlike cloud copilots.</w:t>
      </w:r>
    </w:p>
    <w:p>
      <w:pPr>
        <w:pStyle w:val="ListBullet"/>
        <w:jc w:val="both"/>
      </w:pPr>
      <w:r>
        <w:rPr>
          <w:b/>
        </w:rPr>
        <w:t>Explainable —</w:t>
      </w:r>
      <w:r>
        <w:t xml:space="preserve"> every verdict carries a score and every explanation carries a citation.</w:t>
      </w:r>
    </w:p>
    <w:p>
      <w:pPr>
        <w:pStyle w:val="ListBullet"/>
        <w:jc w:val="both"/>
      </w:pPr>
      <w:r>
        <w:rPr>
          <w:b/>
        </w:rPr>
        <w:t>Self-updating —</w:t>
      </w:r>
      <w:r>
        <w:t xml:space="preserve"> the CVE agent keeps the knowledge base current without manual curation.</w:t>
      </w:r>
    </w:p>
    <w:p>
      <w:pPr>
        <w:pStyle w:val="Heading2"/>
      </w:pPr>
      <w:r>
        <w:t>7.3 Pricing Models</w:t>
      </w:r>
    </w:p>
    <w:p>
      <w:pPr>
        <w:pStyle w:val="ListBullet"/>
        <w:jc w:val="both"/>
      </w:pPr>
      <w:r>
        <w:rPr>
          <w:b/>
        </w:rPr>
        <w:t>Open-core —</w:t>
      </w:r>
      <w:r>
        <w:t xml:space="preserve"> core engine open-source, paid enterprise features (multi-tenant, RBAC, HA).</w:t>
      </w:r>
    </w:p>
    <w:p>
      <w:pPr>
        <w:pStyle w:val="ListBullet"/>
        <w:jc w:val="both"/>
      </w:pPr>
      <w:r>
        <w:rPr>
          <w:b/>
        </w:rPr>
        <w:t>Per-agent —</w:t>
      </w:r>
      <w:r>
        <w:t xml:space="preserve"> per-monitored-agent or per-node subscription.</w:t>
      </w:r>
    </w:p>
    <w:p>
      <w:pPr>
        <w:pStyle w:val="ListBullet"/>
        <w:jc w:val="both"/>
      </w:pPr>
      <w:r>
        <w:rPr>
          <w:b/>
        </w:rPr>
        <w:t>Support tiers —</w:t>
      </w:r>
      <w:r>
        <w:t xml:space="preserve"> support / SLA tiers (community, business, 24×7).</w:t>
      </w:r>
    </w:p>
    <w:p>
      <w:pPr>
        <w:pStyle w:val="ListBullet"/>
        <w:jc w:val="both"/>
      </w:pPr>
      <w:r>
        <w:rPr>
          <w:b/>
        </w:rPr>
        <w:t>Managed —</w:t>
      </w:r>
      <w:r>
        <w:t xml:space="preserve"> fully managed deployment for buyers without ops capacity.</w:t>
      </w:r>
    </w:p>
    <w:p>
      <w:pPr>
        <w:pStyle w:val="Heading2"/>
      </w:pPr>
      <w:r>
        <w:t>7.4 Step-by-Step Sales Plan</w:t>
      </w:r>
    </w:p>
    <w:p>
      <w:pPr>
        <w:pStyle w:val="ListNumber"/>
        <w:jc w:val="both"/>
      </w:pPr>
      <w:r>
        <w:rPr>
          <w:b/>
        </w:rPr>
        <w:t>Position —</w:t>
      </w:r>
      <w:r>
        <w:t xml:space="preserve"> write a one-sentence positioning statement ('the local, explainable AI copilot for Wazuh SOCs') and a crisp problem-solution narrative.</w:t>
      </w:r>
    </w:p>
    <w:p>
      <w:pPr>
        <w:pStyle w:val="ListNumber"/>
        <w:jc w:val="both"/>
      </w:pPr>
      <w:r>
        <w:rPr>
          <w:b/>
        </w:rPr>
        <w:t>Prove —</w:t>
      </w:r>
      <w:r>
        <w:t xml:space="preserve"> publish a landing page with a two-minute demo video built from the live-demo runbook (real attack → detection → grounded explanation).</w:t>
      </w:r>
    </w:p>
    <w:p>
      <w:pPr>
        <w:pStyle w:val="ListNumber"/>
        <w:jc w:val="both"/>
      </w:pPr>
      <w:r>
        <w:rPr>
          <w:b/>
        </w:rPr>
        <w:t>Pilot —</w:t>
      </w:r>
      <w:r>
        <w:t xml:space="preserve"> recruit 3–5 design partners for free pilots in exchange for feedback and a reference.</w:t>
      </w:r>
    </w:p>
    <w:p>
      <w:pPr>
        <w:pStyle w:val="ListNumber"/>
        <w:jc w:val="both"/>
      </w:pPr>
      <w:r>
        <w:rPr>
          <w:b/>
        </w:rPr>
        <w:t>Case study —</w:t>
      </w:r>
      <w:r>
        <w:t xml:space="preserve"> convert one pilot into a written case study with measured outcomes (triage time saved, FPs reduced).</w:t>
      </w:r>
    </w:p>
    <w:p>
      <w:pPr>
        <w:pStyle w:val="ListNumber"/>
        <w:jc w:val="both"/>
      </w:pPr>
      <w:r>
        <w:rPr>
          <w:b/>
        </w:rPr>
        <w:t>Outbound —</w:t>
      </w:r>
      <w:r>
        <w:t xml:space="preserve"> run targeted outbound to the ICP list, leading with the case study.</w:t>
      </w:r>
    </w:p>
    <w:p>
      <w:pPr>
        <w:pStyle w:val="ListNumber"/>
        <w:jc w:val="both"/>
      </w:pPr>
      <w:r>
        <w:rPr>
          <w:b/>
        </w:rPr>
        <w:t>Convert —</w:t>
      </w:r>
      <w:r>
        <w:t xml:space="preserve"> define a pilot-to-paid motion: a 30-day paid pilot with success criteria that convert to an annual contract.</w:t>
      </w:r>
    </w:p>
    <w:p>
      <w:pPr>
        <w:pStyle w:val="ListNumber"/>
        <w:jc w:val="both"/>
      </w:pPr>
      <w:r>
        <w:rPr>
          <w:b/>
        </w:rPr>
        <w:t>Channel —</w:t>
      </w:r>
      <w:r>
        <w:t xml:space="preserve"> sign MSSP channel partners who resell into their tenant base.</w:t>
      </w:r>
    </w:p>
    <w:p>
      <w:pPr>
        <w:pStyle w:val="ListNumber"/>
        <w:jc w:val="both"/>
      </w:pPr>
      <w:r>
        <w:rPr>
          <w:b/>
        </w:rPr>
        <w:t>Certify —</w:t>
      </w:r>
      <w:r>
        <w:t xml:space="preserve"> pursue SOC 2 / ISO 27001 as a sales unlock for regulated buyers.</w:t>
      </w:r>
    </w:p>
    <w:p>
      <w:pPr>
        <w:jc w:val="both"/>
      </w:pPr>
      <w:r>
        <w:rPr>
          <w:i w:val="0"/>
        </w:rPr>
        <w:t>A 90-day launch cadence: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56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Foundation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1–3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positioning, landing page, demo video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Pilots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4–8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3–5 design partners live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Proof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9–10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first case study published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Outbound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11–12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ICP outreach + first paid pilot</w:t>
            </w:r>
          </w:p>
        </w:tc>
      </w:tr>
    </w:tbl>
    <w:p/>
    <w:p>
      <w:pPr>
        <w:pStyle w:val="Heading1"/>
      </w:pPr>
      <w:r>
        <w:t>8. Honest Limitations and Roadmap</w:t>
      </w:r>
    </w:p>
    <w:p>
      <w:pPr>
        <w:pStyle w:val="ListBullet"/>
        <w:jc w:val="both"/>
      </w:pPr>
      <w:r>
        <w:rPr>
          <w:b/>
        </w:rPr>
        <w:t>Single-node —</w:t>
      </w:r>
      <w:r>
        <w:t xml:space="preserve"> the current deployment runs on a single node; enterprise scale needs the queue + HA work in Section 3.</w:t>
      </w:r>
    </w:p>
    <w:p>
      <w:pPr>
        <w:pStyle w:val="ListBullet"/>
        <w:jc w:val="both"/>
      </w:pPr>
      <w:r>
        <w:rPr>
          <w:b/>
        </w:rPr>
        <w:t>Training-set size —</w:t>
      </w:r>
      <w:r>
        <w:t xml:space="preserve"> the models were trained on ~2,171 alerts; more data and diversity will improve generalisation.</w:t>
      </w:r>
    </w:p>
    <w:p>
      <w:pPr>
        <w:pStyle w:val="ListBullet"/>
        <w:jc w:val="both"/>
      </w:pPr>
      <w:r>
        <w:rPr>
          <w:b/>
        </w:rPr>
        <w:t>Known edge case —</w:t>
      </w:r>
      <w:r>
        <w:t xml:space="preserve"> single failed PAM logins remain hard (≈45% detection) because they are informationally identical to a typo; temporal window features are the fix.</w:t>
      </w:r>
    </w:p>
    <w:p>
      <w:pPr>
        <w:jc w:val="both"/>
      </w:pPr>
      <w:r>
        <w:rPr>
          <w:i w:val="0"/>
        </w:rPr>
        <w:t>Roadmap priority order: temporal features → multi-agent SOC → mobile &amp; AI-app coverage → managed offering → certifications.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jc w:val="both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 w:ascii="Georgia" w:hAnsi="Georgia"/>
      <w:b/>
      <w:bCs/>
      <w:color w:val="14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 w:ascii="Georgia" w:hAnsi="Georgia"/>
      <w:b/>
      <w:bCs/>
      <w:color w:val="106B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jc w:val="left"/>
      <w:outlineLvl w:val="2"/>
    </w:pPr>
    <w:rPr>
      <w:rFonts w:asciiTheme="majorHAnsi" w:eastAsiaTheme="majorEastAsia" w:hAnsiTheme="majorHAnsi" w:cstheme="majorBidi" w:ascii="Georgia" w:hAnsi="Georgia"/>
      <w:b/>
      <w:bCs/>
      <w:color w:val="5B3E9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