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r>
        <w:br/>
      </w:r>
    </w:p>
    <w:p>
      <w:pPr>
        <w:jc w:val="center"/>
      </w:pPr>
      <w:r>
        <w:rPr>
          <w:b/>
          <w:color w:val="555B66"/>
          <w:sz w:val="22"/>
        </w:rPr>
        <w:t>BUCHAREST UNIVERSITY OF ECONOMIC STUDIES</w:t>
      </w:r>
    </w:p>
    <w:p>
      <w:pPr>
        <w:jc w:val="center"/>
      </w:pPr>
      <w:r>
        <w:rPr>
          <w:color w:val="555B66"/>
          <w:sz w:val="20"/>
        </w:rPr>
        <w:t>Faculty of Cybernetics, Statistics and Economic Informatics</w:t>
      </w:r>
    </w:p>
    <w:p/>
    <w:p>
      <w:pPr>
        <w:jc w:val="center"/>
      </w:pPr>
      <w:r>
        <w:rPr>
          <w:b/>
          <w:color w:val="142A4A"/>
          <w:sz w:val="48"/>
        </w:rPr>
        <w:t>Elevating the Thesis for Graduate Admissions</w:t>
      </w:r>
    </w:p>
    <w:p>
      <w:pPr>
        <w:jc w:val="center"/>
      </w:pPr>
      <w:r>
        <w:rPr>
          <w:i/>
          <w:color w:val="106B8C"/>
          <w:sz w:val="30"/>
        </w:rPr>
        <w:t>ETH Zürich · EPFL · Top European &amp; Australian Programmes</w:t>
      </w:r>
    </w:p>
    <w:p/>
    <w:p>
      <w:pPr>
        <w:jc w:val="center"/>
      </w:pPr>
      <w:r>
        <w:rPr>
          <w:color w:val="555B66"/>
          <w:sz w:val="22"/>
        </w:rPr>
        <w:t>How to strengthen the work, retitle it for academic weight, and position it per destination</w:t>
      </w:r>
    </w:p>
    <w:p/>
    <w:p/>
    <w:p/>
    <w:p/>
    <w:p/>
    <w:p/>
    <w:p>
      <w:pPr>
        <w:jc w:val="center"/>
      </w:pPr>
      <w:r>
        <w:rPr>
          <w:b/>
          <w:color w:val="1A1D24"/>
          <w:sz w:val="26"/>
        </w:rPr>
        <w:t>Secărea Diana Maria</w:t>
      </w:r>
    </w:p>
    <w:p>
      <w:pPr>
        <w:jc w:val="center"/>
      </w:pPr>
      <w:r>
        <w:rPr>
          <w:color w:val="555B66"/>
          <w:sz w:val="22"/>
        </w:rPr>
        <w:t>Coordinator: prof. univ. dr. Cătălin Boja   ·   Bucharest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Strengthening the Thesis Academically</w:t>
      </w:r>
    </w:p>
    <w:p>
      <w:pPr>
        <w:jc w:val="both"/>
      </w:pPr>
      <w:r>
        <w:rPr>
          <w:i w:val="0"/>
        </w:rPr>
        <w:t>Admissions committees at ETH Zürich, EPFL and comparable programmes reward methodological rigour, reproducibility and honest evaluation over feature count. Each upgrade below is framed as what committees look for → what the thesis already has → what to add.</w:t>
      </w:r>
    </w:p>
    <w:p>
      <w:pPr>
        <w:pStyle w:val="Heading2"/>
      </w:pPr>
      <w:r>
        <w:t>1.1 Evaluation Rigour</w:t>
      </w:r>
    </w:p>
    <w:p>
      <w:pPr>
        <w:jc w:val="both"/>
      </w:pPr>
      <w:r>
        <w:rPr>
          <w:i w:val="0"/>
        </w:rPr>
        <w:t>Look for: statistically defensible results. Have: precision 83.4%, recall 95.9%, F1 89.2%, a confusion matrix, a feature ablation and a chunk-size ablation. Add: k-fold cross-validation with confidence intervals, a precision–recall curve (more honest than ROC on imbalanced data), significance tests between the baseline and retrained models, and a comparison table against published SIEM-ML baselines.</w:t>
      </w:r>
    </w:p>
    <w:p>
      <w:pPr>
        <w:pStyle w:val="Heading2"/>
      </w:pPr>
      <w:r>
        <w:t>1.2 Reproducibility</w:t>
      </w:r>
    </w:p>
    <w:p>
      <w:pPr>
        <w:jc w:val="both"/>
      </w:pPr>
      <w:r>
        <w:rPr>
          <w:i w:val="0"/>
        </w:rPr>
        <w:t>Look for: a result a reviewer can rerun. Have: evaluation scripts and datasets in the repo. Add: fixed random seeds, a dataset card (composition, collection method, licence), pinned environment (lockfile + container), and a one-command reproduction script.</w:t>
      </w:r>
    </w:p>
    <w:p>
      <w:pPr>
        <w:pStyle w:val="Heading2"/>
      </w:pPr>
      <w:r>
        <w:t>1.3 Threats to Validity</w:t>
      </w:r>
    </w:p>
    <w:p>
      <w:pPr>
        <w:jc w:val="both"/>
      </w:pPr>
      <w:r>
        <w:rPr>
          <w:i w:val="0"/>
        </w:rPr>
        <w:t>Look for: awareness of one's own limitations. Add: an explicit section on internal validity (the same-family LLM judge biases faithfulness upward — use an independent judge model), external validity (single deployment, ~2,171 alerts), and construct validity (are the 16 features measuring what we claim).</w:t>
      </w:r>
    </w:p>
    <w:p>
      <w:pPr>
        <w:pStyle w:val="Heading2"/>
      </w:pPr>
      <w:r>
        <w:t>1.4 Related Work and Formalism</w:t>
      </w:r>
    </w:p>
    <w:p>
      <w:pPr>
        <w:jc w:val="both"/>
      </w:pPr>
      <w:r>
        <w:rPr>
          <w:i w:val="0"/>
        </w:rPr>
        <w:t>Look for: scholarly grounding. Add: a formal problem statement and hypotheses; deeper related work citing the foundational papers (RAG — Lewis et al. 2020; Isolation Forest — Liu, Ting &amp; Zhou 2008; sentence embeddings — Reimers &amp; Gurevych 2019) and recent SIEM-ML and LLM-for-security surveys; and a clear statement of the novel contribution relative to them.</w:t>
      </w:r>
    </w:p>
    <w:p>
      <w:pPr>
        <w:pStyle w:val="Heading2"/>
      </w:pPr>
      <w:r>
        <w:t>1.5 Independent Generation Evaluation</w:t>
      </w:r>
    </w:p>
    <w:p>
      <w:pPr>
        <w:jc w:val="both"/>
      </w:pPr>
      <w:r>
        <w:rPr>
          <w:i w:val="0"/>
        </w:rPr>
        <w:t>The RAG faithfulness score of 0.71 was judged by the same model family that generated the answers. Re-run the generation evaluation with an independent judge (a different local model, or human annotation on a sample) and report inter-rater agreement — this single change materially raises the credibility of the RAG results.</w:t>
      </w:r>
    </w:p>
    <w:p>
      <w:r>
        <w:br w:type="page"/>
      </w:r>
    </w:p>
    <w:p>
      <w:pPr>
        <w:pStyle w:val="Heading1"/>
      </w:pPr>
      <w:r>
        <w:t>2. Better, More Academic Titles</w:t>
      </w:r>
    </w:p>
    <w:p>
      <w:pPr>
        <w:jc w:val="both"/>
      </w:pPr>
      <w:r>
        <w:rPr>
          <w:i w:val="0"/>
        </w:rPr>
        <w:t>Ranked alternatives. The strongest titles foreground the scientific contributions — self-supervised / unsupervised learning, grounding, explainability, and rigorous evaluation — rather than the product.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76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Proposed title</w:t>
            </w:r>
          </w:p>
        </w:tc>
        <w:tc>
          <w:tcPr>
            <w:tcW w:type="dxa" w:w="43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Why it lands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Grounded Anomaly Reasoning: Unsupervised Detection and Retrieval-Augmented Explanation for Security Operations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pairs the two contributions; 'grounded' + 'reasoning' read as ML-systems research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From Signatures to Semantics: A Self-Supervised, Knowledge-Grounded SIEM Architecture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memorable thesis-statement framing; signals the paradigm shift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Explainable, Label-Free Threat Detection via Dual-Model Anomaly Ensembles and Local Retrieval-Augmented Generation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keyword-dense for search committees; 'label-free' highlights the unsupervised claim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Trustworthy SOC Automation: Auditable Anomaly Scoring and Cited Machine Reasoning on Open-Source SIEM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'trustworthy' + 'auditable' align with EU trustworthy-AI discourse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Detect, Explain, Sustain: A Closed-Loop AI Architecture for Autonomous Security Operations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captures the loop; 'autonomous' invites the agentic PhD direction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Beyond Rules: Unsupervised Anomaly Ensembles and Grounded Language Models for Privacy-Preserving Threat Detection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'privacy-preserving' targets EPFL / EU labs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Semantic SIEM: Knowledge-Grounded Language Models for Explainable Intrusion Analysis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concise, coins a term, strong for a paper title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Adversarially-Robust, Self-Supervised Threat Detection with Local Knowledge-Grounded Reasoning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'adversarially-robust' is the strongest signal for a security-ML committee</w:t>
            </w:r>
          </w:p>
        </w:tc>
      </w:tr>
    </w:tbl>
    <w:p/>
    <w:p>
      <w:pPr>
        <w:jc w:val="both"/>
      </w:pPr>
      <w:r>
        <w:rPr>
          <w:i w:val="0"/>
        </w:rPr>
        <w:t>Keyword guidance: self-supervised, unsupervised, grounded, explainable, adversarially-robust, auditable and evaluation all raise the perceived rigour. Avoid product-flavoured words (engine, copilot, dashboard) in the academic title; keep those for the system name.</w:t>
      </w:r>
    </w:p>
    <w:p>
      <w:r>
        <w:br w:type="page"/>
      </w:r>
    </w:p>
    <w:p>
      <w:pPr>
        <w:pStyle w:val="Heading1"/>
      </w:pPr>
      <w:r>
        <w:t>3. Program-Specific Positioning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Destination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What they value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Which section to expand</w:t>
            </w:r>
          </w:p>
        </w:tc>
        <w:tc>
          <w:tcPr>
            <w:tcW w:type="dxa" w:w="27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SOP angle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ETH Zürich (systems / security)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rigorous systems evaluation, reproducibility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reliability + adversarial-ML testing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engineering rigour + measurable robustness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EPFL (ML security, privacy)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privacy-preserving &amp; self-supervised ML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local/private design + unsupervised training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label-free learning on sensitive data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TU Delft / TU Munich / KTH / Imperial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applied security systems with strong eval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the closed detect-explain loop + evaluation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match the specific group's sub-area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Australia (UNSW / ANU / CSIRO Data61)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applied, national-security-relevant cyber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agentic SOC + threat-intel automation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operational impact + sovereignty</w:t>
            </w:r>
          </w:p>
        </w:tc>
      </w:tr>
    </w:tbl>
    <w:p/>
    <w:p>
      <w:pPr>
        <w:jc w:val="both"/>
      </w:pPr>
      <w:r>
        <w:rPr>
          <w:i w:val="0"/>
        </w:rPr>
        <w:t>For each application, expand the indicated section, cite one representative paper from the target group, and mirror the group's vocabulary in the statement of purpose.</w:t>
      </w:r>
    </w:p>
    <w:p>
      <w:pPr>
        <w:pStyle w:val="Heading1"/>
      </w:pPr>
      <w:r>
        <w:t>4. Turning the Thesis into an Application Narrative</w:t>
      </w:r>
    </w:p>
    <w:p>
      <w:pPr>
        <w:jc w:val="both"/>
      </w:pPr>
      <w:r>
        <w:rPr>
          <w:i w:val="0"/>
        </w:rPr>
        <w:t>Structure the statement of purpose and research proposal around a gap → contribution → future research arc: the gap is that rule-based SIEMs cannot score, explain or self-update; the contribution is the evaluated, fully-local detect-explain-maintain loop; the future research is the two hardest, most fundable directions — adversarial robustness of anomaly ensembles, and safe autonomy in multi-agent SOCs. Propose these as a PhD programme.</w:t>
      </w:r>
    </w:p>
    <w:p>
      <w:pPr>
        <w:jc w:val="both"/>
      </w:pPr>
      <w:r>
        <w:rPr>
          <w:i w:val="0"/>
        </w:rPr>
        <w:t>Publishable sub-papers to extract now:</w:t>
      </w:r>
    </w:p>
    <w:p>
      <w:pPr>
        <w:pStyle w:val="ListBullet"/>
        <w:jc w:val="both"/>
      </w:pPr>
      <w:r>
        <w:rPr>
          <w:b/>
        </w:rPr>
        <w:t>Methods paper —</w:t>
      </w:r>
      <w:r>
        <w:t xml:space="preserve"> the reference-free RAG evaluation methodology (faithfulness + citation precision + refusal), which is reusable beyond security.</w:t>
      </w:r>
    </w:p>
    <w:p>
      <w:pPr>
        <w:pStyle w:val="ListBullet"/>
        <w:jc w:val="both"/>
      </w:pPr>
      <w:r>
        <w:rPr>
          <w:b/>
        </w:rPr>
        <w:t>ML paper —</w:t>
      </w:r>
      <w:r>
        <w:t xml:space="preserve"> the unsupervised training strategy (contamination='auto' + iterative trimming) as a label-free anomaly-detection contribution.</w:t>
      </w:r>
    </w:p>
    <w:p>
      <w:pPr>
        <w:pStyle w:val="ListBullet"/>
        <w:jc w:val="both"/>
      </w:pPr>
      <w:r>
        <w:rPr>
          <w:b/>
        </w:rPr>
        <w:t>Systems paper —</w:t>
      </w:r>
      <w:r>
        <w:t xml:space="preserve"> the governance model for the agentic CVE ingestion (bounded reasoning + auditable ledger + human-review queue).</w:t>
      </w:r>
    </w:p>
    <w:p>
      <w:pPr>
        <w:pStyle w:val="Heading1"/>
      </w:pPr>
      <w:r>
        <w:t>5. Ways It Can Be the Best — Prioritised Checklist</w:t>
      </w:r>
    </w:p>
    <w:p>
      <w:pPr>
        <w:jc w:val="both"/>
      </w:pPr>
      <w:r>
        <w:rPr>
          <w:i w:val="0"/>
        </w:rPr>
        <w:t>Ordered by committee impact per unit of effort:</w:t>
      </w:r>
    </w:p>
    <w:p>
      <w:pPr>
        <w:pStyle w:val="ListNumber"/>
        <w:jc w:val="both"/>
      </w:pPr>
      <w:r>
        <w:rPr>
          <w:b/>
        </w:rPr>
        <w:t>Highest —</w:t>
      </w:r>
      <w:r>
        <w:t xml:space="preserve"> add the independent RAG judge and cross-validation with confidence intervals.</w:t>
      </w:r>
    </w:p>
    <w:p>
      <w:pPr>
        <w:pStyle w:val="ListNumber"/>
        <w:jc w:val="both"/>
      </w:pPr>
      <w:r>
        <w:rPr>
          <w:b/>
        </w:rPr>
        <w:t>High —</w:t>
      </w:r>
      <w:r>
        <w:t xml:space="preserve"> write the threats-to-validity section and a formal problem statement.</w:t>
      </w:r>
    </w:p>
    <w:p>
      <w:pPr>
        <w:pStyle w:val="ListNumber"/>
        <w:jc w:val="both"/>
      </w:pPr>
      <w:r>
        <w:rPr>
          <w:b/>
        </w:rPr>
        <w:t>High —</w:t>
      </w:r>
      <w:r>
        <w:t xml:space="preserve"> add the baseline-comparison table and precision–recall curves.</w:t>
      </w:r>
    </w:p>
    <w:p>
      <w:pPr>
        <w:pStyle w:val="ListNumber"/>
        <w:jc w:val="both"/>
      </w:pPr>
      <w:r>
        <w:rPr>
          <w:b/>
        </w:rPr>
        <w:t>Medium —</w:t>
      </w:r>
      <w:r>
        <w:t xml:space="preserve"> publish a reproducibility package (seeds, dataset card, container, one-command rerun).</w:t>
      </w:r>
    </w:p>
    <w:p>
      <w:pPr>
        <w:pStyle w:val="ListNumber"/>
        <w:jc w:val="both"/>
      </w:pPr>
      <w:r>
        <w:rPr>
          <w:b/>
        </w:rPr>
        <w:t>Medium —</w:t>
      </w:r>
      <w:r>
        <w:t xml:space="preserve"> retitle using one of the top-3 options and align the abstract to the new title.</w:t>
      </w:r>
    </w:p>
    <w:p>
      <w:pPr>
        <w:pStyle w:val="ListNumber"/>
        <w:jc w:val="both"/>
      </w:pPr>
      <w:r>
        <w:rPr>
          <w:b/>
        </w:rPr>
        <w:t>Stretch —</w:t>
      </w:r>
      <w:r>
        <w:t xml:space="preserve"> extract one sub-paper and submit to a workshop for an external stamp of quality.</w:t>
      </w:r>
    </w:p>
    <w:p>
      <w:pPr>
        <w:jc w:val="both"/>
      </w:pPr>
      <w:r>
        <w:rPr>
          <w:i w:val="0"/>
        </w:rPr>
        <w:t>A twelve-week polish plan: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Weeks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type="dxa" w:w="561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1–3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evaluation upgrades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CV + PR curves + independent judge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4–6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scholarly framing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problem statement, related work, threats to validity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7–9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reproducibility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public repo + dataset card + container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10–12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positioning</w:t>
            </w:r>
          </w:p>
        </w:tc>
        <w:tc>
          <w:tcPr>
            <w:tcW w:type="dxa" w:w="5616"/>
          </w:tcPr>
          <w:p>
            <w:r/>
            <w:r>
              <w:rPr>
                <w:sz w:val="19"/>
              </w:rPr>
              <w:t>retitle, rewrite abstract, draft SOP + one sub-paper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  <w:jc w:val="both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 w:ascii="Georgia" w:hAnsi="Georgia"/>
      <w:b/>
      <w:bCs/>
      <w:color w:val="14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 w:ascii="Georgia" w:hAnsi="Georgia"/>
      <w:b/>
      <w:bCs/>
      <w:color w:val="106B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jc w:val="left"/>
      <w:outlineLvl w:val="2"/>
    </w:pPr>
    <w:rPr>
      <w:rFonts w:asciiTheme="majorHAnsi" w:eastAsiaTheme="majorEastAsia" w:hAnsiTheme="majorHAnsi" w:cstheme="majorBidi" w:ascii="Georgia" w:hAnsi="Georgia"/>
      <w:b/>
      <w:bCs/>
      <w:color w:val="5B3E9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