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40"/>
        <w:jc w:val="center"/>
      </w:pPr>
      <w:r>
        <w:rPr>
          <w:rFonts w:ascii="Times New Roman" w:hAnsi="Times New Roman"/>
          <w:b/>
          <w:sz w:val="32"/>
        </w:rPr>
        <w:t>Motor AI pentru analiza amenințărilor în Wazuh:</w:t>
        <w:br/>
        <w:t>detecție prin Isolation Forest și pipeline RAG hibrid</w:t>
        <w:br/>
        <w:t>(backend Flask, Qdrant, PostgreSQL)</w:t>
      </w:r>
    </w:p>
    <w:p/>
    <w:p>
      <w:pPr>
        <w:spacing w:after="240"/>
        <w:jc w:val="center"/>
      </w:pPr>
      <w:r>
        <w:rPr>
          <w:rFonts w:ascii="Times New Roman" w:hAnsi="Times New Roman"/>
          <w:b/>
          <w:sz w:val="28"/>
        </w:rPr>
        <w:t>Lucrare de licență</w:t>
      </w:r>
    </w:p>
    <w:p/>
    <w:p>
      <w:pPr>
        <w:jc w:val="center"/>
      </w:pPr>
      <w:r>
        <w:rPr>
          <w:rFonts w:ascii="Times New Roman" w:hAnsi="Times New Roman"/>
          <w:sz w:val="24"/>
        </w:rPr>
        <w:t>Autor: [Nume Prenume]</w:t>
        <w:br/>
      </w:r>
      <w:r>
        <w:rPr>
          <w:rFonts w:ascii="Times New Roman" w:hAnsi="Times New Roman"/>
          <w:sz w:val="24"/>
        </w:rPr>
        <w:t>Coordonator: [Titlu Dr. Nume Prenume]</w:t>
        <w:br/>
      </w:r>
      <w:r>
        <w:rPr>
          <w:rFonts w:ascii="Times New Roman" w:hAnsi="Times New Roman"/>
          <w:sz w:val="24"/>
        </w:rPr>
        <w:t>Universitatea: [Denumire]</w:t>
        <w:br/>
      </w:r>
      <w:r>
        <w:rPr>
          <w:rFonts w:ascii="Times New Roman" w:hAnsi="Times New Roman"/>
          <w:sz w:val="24"/>
        </w:rPr>
        <w:t>Facultatea: [Denumire]</w:t>
        <w:br/>
      </w:r>
      <w:r>
        <w:rPr>
          <w:rFonts w:ascii="Times New Roman" w:hAnsi="Times New Roman"/>
          <w:sz w:val="24"/>
        </w:rPr>
        <w:t>Program de studii: [Denumire]</w:t>
        <w:br/>
      </w:r>
      <w:r>
        <w:rPr>
          <w:rFonts w:ascii="Times New Roman" w:hAnsi="Times New Roman"/>
          <w:sz w:val="24"/>
        </w:rPr>
        <w:t>An universitar: 2025–2026</w:t>
        <w:br/>
      </w:r>
    </w:p>
    <w:p>
      <w:r>
        <w:br w:type="page"/>
      </w:r>
    </w:p>
    <w:p>
      <w:pPr>
        <w:spacing w:after="240"/>
        <w:jc w:val="center"/>
      </w:pPr>
      <w:r>
        <w:rPr>
          <w:rFonts w:ascii="Times New Roman" w:hAnsi="Times New Roman"/>
          <w:b/>
          <w:sz w:val="28"/>
        </w:rPr>
        <w:t>Cuprins</w:t>
      </w:r>
    </w:p>
    <w:p>
      <w:pPr>
        <w:spacing w:lineRule="auto" w:line="312"/>
      </w:pPr>
      <w:r>
        <w:rPr>
          <w:rFonts w:ascii="Times New Roman" w:hAnsi="Times New Roman"/>
          <w:sz w:val="22"/>
        </w:rPr>
        <w:t>1. Introducere</w:t>
      </w:r>
    </w:p>
    <w:p>
      <w:pPr>
        <w:spacing w:lineRule="auto" w:line="312"/>
      </w:pPr>
      <w:r>
        <w:rPr>
          <w:rFonts w:ascii="Times New Roman" w:hAnsi="Times New Roman"/>
          <w:sz w:val="22"/>
        </w:rPr>
        <w:t>2. Inteligența artificială în securitatea cibernetică: domeniul problemei</w:t>
      </w:r>
    </w:p>
    <w:p>
      <w:pPr>
        <w:spacing w:lineRule="auto" w:line="312"/>
      </w:pPr>
      <w:r>
        <w:rPr>
          <w:rFonts w:ascii="Times New Roman" w:hAnsi="Times New Roman"/>
          <w:sz w:val="22"/>
        </w:rPr>
        <w:t xml:space="preserve">   2.1. Peisajul tot mai complex al amenințărilor</w:t>
      </w:r>
    </w:p>
    <w:p>
      <w:pPr>
        <w:spacing w:lineRule="auto" w:line="312"/>
      </w:pPr>
      <w:r>
        <w:rPr>
          <w:rFonts w:ascii="Times New Roman" w:hAnsi="Times New Roman"/>
          <w:sz w:val="22"/>
        </w:rPr>
        <w:t xml:space="preserve">   2.2. Avantajele AI în cybersecurity</w:t>
      </w:r>
    </w:p>
    <w:p>
      <w:pPr>
        <w:spacing w:lineRule="auto" w:line="312"/>
      </w:pPr>
      <w:r>
        <w:rPr>
          <w:rFonts w:ascii="Times New Roman" w:hAnsi="Times New Roman"/>
          <w:sz w:val="22"/>
        </w:rPr>
        <w:t xml:space="preserve">   2.3. Direcții viitoare în securitatea asistată de AI</w:t>
      </w:r>
    </w:p>
    <w:p>
      <w:pPr>
        <w:spacing w:lineRule="auto" w:line="312"/>
      </w:pPr>
      <w:r>
        <w:rPr>
          <w:rFonts w:ascii="Times New Roman" w:hAnsi="Times New Roman"/>
          <w:sz w:val="22"/>
        </w:rPr>
        <w:t xml:space="preserve">   2.4. SIEM și rolul său operațional</w:t>
      </w:r>
    </w:p>
    <w:p>
      <w:pPr>
        <w:spacing w:lineRule="auto" w:line="312"/>
      </w:pPr>
      <w:r>
        <w:rPr>
          <w:rFonts w:ascii="Times New Roman" w:hAnsi="Times New Roman"/>
          <w:sz w:val="22"/>
        </w:rPr>
        <w:t xml:space="preserve">   2.5. Wazuh ca platformă SIEM</w:t>
      </w:r>
    </w:p>
    <w:p>
      <w:pPr>
        <w:spacing w:lineRule="auto" w:line="312"/>
      </w:pPr>
      <w:r>
        <w:rPr>
          <w:rFonts w:ascii="Times New Roman" w:hAnsi="Times New Roman"/>
          <w:sz w:val="22"/>
        </w:rPr>
        <w:t xml:space="preserve">   2.6. Limitările SIEM tradițional și ale Wazuh</w:t>
      </w:r>
    </w:p>
    <w:p>
      <w:pPr>
        <w:spacing w:lineRule="auto" w:line="312"/>
      </w:pPr>
      <w:r>
        <w:rPr>
          <w:rFonts w:ascii="Times New Roman" w:hAnsi="Times New Roman"/>
          <w:sz w:val="22"/>
        </w:rPr>
        <w:t>3. Metode și algoritmi utilizați</w:t>
      </w:r>
    </w:p>
    <w:p>
      <w:pPr>
        <w:spacing w:lineRule="auto" w:line="312"/>
      </w:pPr>
      <w:r>
        <w:rPr>
          <w:rFonts w:ascii="Times New Roman" w:hAnsi="Times New Roman"/>
          <w:sz w:val="22"/>
        </w:rPr>
        <w:t xml:space="preserve">   3.1. Isolation Forest pentru detecția anomaliilor</w:t>
      </w:r>
    </w:p>
    <w:p>
      <w:pPr>
        <w:spacing w:lineRule="auto" w:line="312"/>
      </w:pPr>
      <w:r>
        <w:rPr>
          <w:rFonts w:ascii="Times New Roman" w:hAnsi="Times New Roman"/>
          <w:sz w:val="22"/>
        </w:rPr>
        <w:t xml:space="preserve">   3.2. RAG (Retrieval-Augmented Generation)</w:t>
      </w:r>
    </w:p>
    <w:p>
      <w:pPr>
        <w:spacing w:lineRule="auto" w:line="312"/>
      </w:pPr>
      <w:r>
        <w:rPr>
          <w:rFonts w:ascii="Times New Roman" w:hAnsi="Times New Roman"/>
          <w:sz w:val="22"/>
        </w:rPr>
        <w:t xml:space="preserve">   3.3. Căutare hibridă: semantică + BM25</w:t>
      </w:r>
    </w:p>
    <w:p>
      <w:pPr>
        <w:spacing w:lineRule="auto" w:line="312"/>
      </w:pPr>
      <w:r>
        <w:rPr>
          <w:rFonts w:ascii="Times New Roman" w:hAnsi="Times New Roman"/>
          <w:sz w:val="22"/>
        </w:rPr>
        <w:t xml:space="preserve">   3.4. Embedding-uri și indexare vectorială</w:t>
      </w:r>
    </w:p>
    <w:p>
      <w:pPr>
        <w:spacing w:lineRule="auto" w:line="312"/>
      </w:pPr>
      <w:r>
        <w:rPr>
          <w:rFonts w:ascii="Times New Roman" w:hAnsi="Times New Roman"/>
          <w:sz w:val="22"/>
        </w:rPr>
        <w:t xml:space="preserve">   3.5. Re-ranking (cross-encoder) — perspective</w:t>
      </w:r>
    </w:p>
    <w:p>
      <w:pPr>
        <w:spacing w:lineRule="auto" w:line="312"/>
      </w:pPr>
      <w:r>
        <w:rPr>
          <w:rFonts w:ascii="Times New Roman" w:hAnsi="Times New Roman"/>
          <w:sz w:val="22"/>
        </w:rPr>
        <w:t>4. Arhitectura și proiectarea soluției</w:t>
      </w:r>
    </w:p>
    <w:p>
      <w:pPr>
        <w:spacing w:lineRule="auto" w:line="312"/>
      </w:pPr>
      <w:r>
        <w:rPr>
          <w:rFonts w:ascii="Times New Roman" w:hAnsi="Times New Roman"/>
          <w:sz w:val="22"/>
        </w:rPr>
        <w:t>5. Implementarea soluției</w:t>
      </w:r>
    </w:p>
    <w:p>
      <w:pPr>
        <w:spacing w:lineRule="auto" w:line="312"/>
      </w:pPr>
      <w:r>
        <w:rPr>
          <w:rFonts w:ascii="Times New Roman" w:hAnsi="Times New Roman"/>
          <w:sz w:val="22"/>
        </w:rPr>
        <w:t>6. Concluzii</w:t>
      </w:r>
    </w:p>
    <w:p>
      <w:pPr>
        <w:spacing w:lineRule="auto" w:line="312"/>
      </w:pPr>
      <w:r>
        <w:rPr>
          <w:rFonts w:ascii="Times New Roman" w:hAnsi="Times New Roman"/>
          <w:sz w:val="22"/>
        </w:rPr>
        <w:t>Bibliografie</w:t>
      </w:r>
    </w:p>
    <w:p>
      <w:pPr>
        <w:spacing w:lineRule="auto" w:line="312"/>
      </w:pPr>
      <w:r>
        <w:rPr>
          <w:rFonts w:ascii="Times New Roman" w:hAnsi="Times New Roman"/>
          <w:sz w:val="22"/>
        </w:rPr>
        <w:t>Anexe</w:t>
      </w:r>
    </w:p>
    <w:p>
      <w:pPr>
        <w:jc w:val="both"/>
      </w:pPr>
      <w:r>
        <w:rPr>
          <w:rFonts w:ascii="Times New Roman" w:hAnsi="Times New Roman"/>
          <w:sz w:val="22"/>
        </w:rPr>
        <w:t>Notă de formatare: după inserarea titlurilor finale în Word, utilizați Referințe → Cuprins pentru generarea automată a cuprinsului. Numerotarea paginilor poate începe la capitolul 1 (Introducere), cu prima pagină și cuprinsul fără număr, conform îndrumarului facultății.</w:t>
      </w:r>
    </w:p>
    <w:p>
      <w:r>
        <w:br w:type="page"/>
      </w:r>
    </w:p>
    <w:p>
      <w:pPr>
        <w:spacing w:after="240"/>
        <w:jc w:val="center"/>
      </w:pPr>
      <w:r>
        <w:rPr>
          <w:rFonts w:ascii="Times New Roman" w:hAnsi="Times New Roman"/>
          <w:b/>
          <w:sz w:val="44"/>
        </w:rPr>
        <w:t>1. Introducere</w:t>
      </w:r>
    </w:p>
    <w:p>
      <w:pPr>
        <w:ind w:firstLine="709"/>
        <w:jc w:val="both"/>
      </w:pPr>
      <w:r>
        <w:rPr>
          <w:rFonts w:ascii="Times New Roman" w:hAnsi="Times New Roman"/>
          <w:sz w:val="22"/>
        </w:rPr>
        <w:t>Organizațiile moderne operează într-un mediu în care volumul de telemetrie de securitate crește continuu, iar actorii malitioși folosesc tehnici din ce în ce mai automate și mai greu de semnalizat prin reguli statice. Platformele de tip SIEM (Security Information and Event Management) centralizează evenimentele, aplică reguli și generează alerte, însă echipele SOC (Security Operations Center) rămân confruntate cu două probleme structurale: supraîncărcarea cu alerte și lipsa contextualizării rapide a unui eveniment izolat în raport cu cunoașterea despre amenințări (tactici MITRE, reguli Sigma, IOC-uri, CVE-uri exploatabile etc.).</w:t>
      </w:r>
    </w:p>
    <w:p>
      <w:pPr>
        <w:ind w:firstLine="709"/>
        <w:jc w:val="both"/>
      </w:pPr>
      <w:r>
        <w:rPr>
          <w:rFonts w:ascii="Times New Roman" w:hAnsi="Times New Roman"/>
          <w:sz w:val="22"/>
        </w:rPr>
        <w:t>Această lucrare prezintă proiectarea și implementarea unui sistem extins de analiză, denumit în continuare AI Threat Engine, integrat cu Wazuh și cu un backend web (Flask) care expune capabilități de monitorizare, chat asistat de RAG și gestionare a excepțiilor operaționale (reguli considerate benign de către analist). Soluția combină două paradigme complementare de inteligență artificială aplicată în securitate: (1) detecția anomaliilor printr-un model nesupervizat de tip Isolation Forest, antrenat pe alerte considerate operational „curate”, și (2) un pipeline RAG (Retrieval-Augmented Generation) care recuperează fragmente relevante dintr-o bază de cunoștințe de threat intelligence și le furnizează unui model de limbaj (LLM) pentru sinteză și recomandări.</w:t>
      </w:r>
    </w:p>
    <w:p>
      <w:pPr>
        <w:ind w:firstLine="709"/>
        <w:jc w:val="both"/>
      </w:pPr>
      <w:r>
        <w:rPr>
          <w:rFonts w:ascii="Times New Roman" w:hAnsi="Times New Roman"/>
          <w:sz w:val="22"/>
        </w:rPr>
        <w:t>Motivația alegerii temei derivă din necesitatea practică de a reduce timpul de triaj și de a îmbunătăți calitatea deciziilor fără a înlocui expertiza umană. Un scor comportamental numeric (0–100) permite prioritizarea alertelor, iar RAG limitează halucinațiile specifice LLM-urilor prin ancorarea răspunsurilor în documente recuperate și în alerte reale din sesiunea de monitorizare.</w:t>
      </w:r>
    </w:p>
    <w:p>
      <w:pPr>
        <w:ind w:firstLine="709"/>
        <w:jc w:val="both"/>
      </w:pPr>
      <w:r>
        <w:rPr>
          <w:rFonts w:ascii="Times New Roman" w:hAnsi="Times New Roman"/>
          <w:sz w:val="22"/>
        </w:rPr>
        <w:t>Obiectivele lucrării sunt: (O1) definirea clară a problemei de domeniu și a limitelor SIEM-ului clasic; (O2) descrierea riguroasă a algoritmilor (Isolation Forest, RAG, fuziune RRF pentru recuperare hibridă); (O3) proiectarea arhitecturii pe straturi (telemetrie, ML, cunoaștere, aplicație, persistență); (O4) implementarea și integrarea cu Wazuh și backend-ul; (O5) evaluarea modelului de anomalii în două faze — model de referință (baseline) și model reantrenat — pe seturi de antrenare și test.</w:t>
      </w:r>
    </w:p>
    <w:p>
      <w:pPr>
        <w:ind w:firstLine="709"/>
        <w:jc w:val="both"/>
      </w:pPr>
      <w:r>
        <w:rPr>
          <w:rFonts w:ascii="Times New Roman" w:hAnsi="Times New Roman"/>
          <w:sz w:val="22"/>
        </w:rPr>
        <w:t>Contribuțiile practice ale implementării includ: extragerea unui set bogat de caracteristici numerice din alertele Wazuh (inclusiv semnale agnostice față de ID-ul regulii, pentru a prinde atacuri necunoscute), calibrarea scorului brut al Isolation Forest într-o scară interpretabilă, stabilirea pragului de anomalie din distribuția alertelor benign pe setul de antrenare, integrarea unei arhitecturi de producție cu Qdrant (căutare densă + sparse) și PostgreSQL (metadate), precum și mecanisme de feedback uman (liste de reguli benign și grupuri suspecte).</w:t>
      </w:r>
    </w:p>
    <w:p>
      <w:pPr>
        <w:ind w:firstLine="709"/>
        <w:jc w:val="both"/>
      </w:pPr>
      <w:r>
        <w:rPr>
          <w:rFonts w:ascii="Times New Roman" w:hAnsi="Times New Roman"/>
          <w:sz w:val="22"/>
        </w:rPr>
        <w:t>Avantajele soluției propuse rezidă în capacitatea de a detecta comportamente atipice fără etichete complete pentru toate tipurile de atac, în paralel cu furnizarea de context inteligibil analistului. Dezavantajele includ dependența de calitatea datelor de bază benign, riscul de drift operațional (schimbări în infrastructură), și necesitatea reantrenării periodice. Limitările sunt discutate explicit în capitolul final.</w:t>
      </w:r>
    </w:p>
    <w:p>
      <w:pPr>
        <w:ind w:firstLine="709"/>
        <w:jc w:val="both"/>
      </w:pPr>
      <w:r>
        <w:rPr>
          <w:rFonts w:ascii="Times New Roman" w:hAnsi="Times New Roman"/>
          <w:sz w:val="22"/>
        </w:rPr>
        <w:t>Structura lucrării urmează logica prezentării progresive a soluției: după introducere, capitolul 2 analizează domeniul și poziționează Wazuh în ecosistemul SIEM; capitolul 3 prezintă fundamentul teoretic și algoritmic; capitolul 4 descrie arhitectura; capitolul 5 detaliază implementarea și rezultatele experimentale; capitolul 6 sintetizează concluziile și direcțiile de cercetare ulterioară.</w:t>
      </w:r>
    </w:p>
    <w:p>
      <w:r>
        <w:br w:type="page"/>
      </w:r>
    </w:p>
    <w:p>
      <w:pPr>
        <w:spacing w:after="240"/>
        <w:jc w:val="center"/>
      </w:pPr>
      <w:r>
        <w:rPr>
          <w:rFonts w:ascii="Times New Roman" w:hAnsi="Times New Roman"/>
          <w:b/>
          <w:sz w:val="44"/>
        </w:rPr>
        <w:t>2. Inteligența artificială în securitatea cibernetică: domeniul problemei</w:t>
      </w:r>
    </w:p>
    <w:p>
      <w:pPr>
        <w:spacing w:before="240" w:after="120"/>
        <w:jc w:val="left"/>
      </w:pPr>
      <w:r>
        <w:rPr>
          <w:rFonts w:ascii="Times New Roman" w:hAnsi="Times New Roman"/>
          <w:b/>
          <w:sz w:val="28"/>
        </w:rPr>
        <w:t>2.1. Peisajul tot mai complex al amenințărilor</w:t>
      </w:r>
    </w:p>
    <w:p>
      <w:pPr>
        <w:ind w:firstLine="709"/>
        <w:jc w:val="both"/>
      </w:pPr>
      <w:r>
        <w:rPr>
          <w:rFonts w:ascii="Times New Roman" w:hAnsi="Times New Roman"/>
          <w:sz w:val="22"/>
        </w:rPr>
        <w:t>Atacurile cibernetice moderne imbrică adesea mai multe faze: acces inițial, persistență, mișcare laterală, exfiltrare sau impact. Fiecare fază poate genera evenimente care, izolate, par banale (ex.: o autentificare eșuată, o cerere HTTP neobișnuită). Din perspectiva SOC, dificultatea nu este doar detectarea unui indicator cunoscut, ci construirea unei povești coerente din fragmente eterogene de telemetrie.</w:t>
      </w:r>
    </w:p>
    <w:p>
      <w:pPr>
        <w:ind w:firstLine="709"/>
        <w:jc w:val="both"/>
      </w:pPr>
      <w:r>
        <w:rPr>
          <w:rFonts w:ascii="Times New Roman" w:hAnsi="Times New Roman"/>
          <w:sz w:val="22"/>
        </w:rPr>
        <w:t>În același timp, automatizarea atacurilor (scanări în masă, credential stuffing, exploatări de vulnerabilități cunoscute) generează volume mari de alerte cu grad variabil de severitate. Fără mecanisme de prioritizare, analiștii petrec timp disproporționat pe evenimente de nivel scăzut, ceea ce crește latența de răspuns pentru incidentele critice.</w:t>
      </w:r>
    </w:p>
    <w:p>
      <w:pPr>
        <w:ind w:firstLine="709"/>
        <w:jc w:val="both"/>
      </w:pPr>
      <w:r>
        <w:rPr>
          <w:rFonts w:ascii="Times New Roman" w:hAnsi="Times New Roman"/>
          <w:sz w:val="22"/>
        </w:rPr>
        <w:t>Literatura și rapoartele industriale subliniază creșterea sofisticării și a impactului economic al incidentelor, precum și importanța combinației între prevenție, detecție și răspuns orchestrat. În acest context, instrumentele care reduc zgomotul și adaugă context devin parte a infrastructurii de securitate, nu simple „nice-to-have”.</w:t>
      </w:r>
    </w:p>
    <w:p>
      <w:pPr>
        <w:spacing w:before="240" w:after="120"/>
        <w:jc w:val="left"/>
      </w:pPr>
      <w:r>
        <w:rPr>
          <w:rFonts w:ascii="Times New Roman" w:hAnsi="Times New Roman"/>
          <w:b/>
          <w:sz w:val="28"/>
        </w:rPr>
        <w:t>2.2. Avantajele AI în cybersecurity</w:t>
      </w:r>
    </w:p>
    <w:p>
      <w:pPr>
        <w:ind w:firstLine="709"/>
        <w:jc w:val="both"/>
      </w:pPr>
      <w:r>
        <w:rPr>
          <w:rFonts w:ascii="Times New Roman" w:hAnsi="Times New Roman"/>
          <w:sz w:val="22"/>
        </w:rPr>
        <w:t>Aplicarea AI în securitate nu înseamnă înlocuirea regulilor, ci completarea lor. Modelele nesupervizate pot evidenția tipare statistice rare sau combinații neobișnuite de atribute, în timp ce modelele supervizate pot clasifica atacuri cunoscute dacă există date etichetate suficiente. În practică, etichetarea completă este costisitoare; de aceea, abordarea „antrenare pe benign + evaluare pe atac” este frecvent utilizată în prototipuri operaționale.</w:t>
      </w:r>
    </w:p>
    <w:p>
      <w:pPr>
        <w:ind w:firstLine="709"/>
        <w:jc w:val="both"/>
      </w:pPr>
      <w:r>
        <w:rPr>
          <w:rFonts w:ascii="Times New Roman" w:hAnsi="Times New Roman"/>
          <w:sz w:val="22"/>
        </w:rPr>
        <w:t>RAG adaugă un al doilea strat: recuperarea de documente relevante permite modelului de limbaj să rămână ancorat în surse explicite (reguli Sigma, tehnici ATT&amp;CK, buletine CISA KEV etc.). Aceasta îmbunătățește trasabilitatea răspunsurilor și reduce tendința de a inventa conexiuni între evenimente fără suport documentar.</w:t>
      </w:r>
    </w:p>
    <w:p>
      <w:pPr>
        <w:ind w:firstLine="709"/>
        <w:jc w:val="both"/>
      </w:pPr>
      <w:r>
        <w:rPr>
          <w:rFonts w:ascii="Times New Roman" w:hAnsi="Times New Roman"/>
          <w:sz w:val="22"/>
        </w:rPr>
        <w:t>Un avantaj esențial al integrării AI în SIEM este scalabilitatea cognitivă: un asistent poate sintetiza rapid zeci de surse, în timp ce analistul validează ipotezele și decide acțiunea. Totuși, succesul depinde de guvernanță: politici de confidențialitate, controlul accesului la date și auditarea deciziilor automate.</w:t>
      </w:r>
    </w:p>
    <w:p>
      <w:pPr>
        <w:spacing w:before="240" w:after="120"/>
        <w:jc w:val="left"/>
      </w:pPr>
      <w:r>
        <w:rPr>
          <w:rFonts w:ascii="Times New Roman" w:hAnsi="Times New Roman"/>
          <w:b/>
          <w:sz w:val="28"/>
        </w:rPr>
        <w:t>2.3. Direcții viitoare în securitatea asistată de AI</w:t>
      </w:r>
    </w:p>
    <w:p>
      <w:pPr>
        <w:ind w:firstLine="709"/>
        <w:jc w:val="both"/>
      </w:pPr>
      <w:r>
        <w:rPr>
          <w:rFonts w:ascii="Times New Roman" w:hAnsi="Times New Roman"/>
          <w:sz w:val="22"/>
        </w:rPr>
        <w:t>Direcțiile de evoluție includ: învățare continuă sau periodică cu feedback uman, explicabilitate îmbunătățită a scorurilor, corelare pe graf între entități (utilizatori, hosturi, adrese IP), și integrarea semnalelor din mai multe surse (EDR, IDS, cloud audit logs). Pentru mediile enterprise, se urmărește reducerea costului de mentenanță prin pipeline-uri MLOps și monitorizarea deriva modelului.</w:t>
      </w:r>
    </w:p>
    <w:p>
      <w:pPr>
        <w:ind w:firstLine="709"/>
        <w:jc w:val="both"/>
      </w:pPr>
      <w:r>
        <w:rPr>
          <w:rFonts w:ascii="Times New Roman" w:hAnsi="Times New Roman"/>
          <w:sz w:val="22"/>
        </w:rPr>
        <w:t>În cadrul proiectului de față, unele dintre aceste direcții sunt pregătite conceptual: există scripturi de colectare a datelor zilnice, mecanisme de reantrenare, endpoint-uri pentru excepții utilizator și un dashboard pentru vector store. Extensiile ulterioare pot include re-ranking cu cross-encoder și învățare semi-supervizată pe baza deciziilor analistului.</w:t>
      </w:r>
    </w:p>
    <w:p>
      <w:pPr>
        <w:spacing w:before="240" w:after="120"/>
        <w:jc w:val="left"/>
      </w:pPr>
      <w:r>
        <w:rPr>
          <w:rFonts w:ascii="Times New Roman" w:hAnsi="Times New Roman"/>
          <w:b/>
          <w:sz w:val="28"/>
        </w:rPr>
        <w:t>2.4. SIEM și rolul său operațional</w:t>
      </w:r>
    </w:p>
    <w:p>
      <w:pPr>
        <w:ind w:firstLine="709"/>
        <w:jc w:val="both"/>
      </w:pPr>
      <w:r>
        <w:rPr>
          <w:rFonts w:ascii="Times New Roman" w:hAnsi="Times New Roman"/>
          <w:sz w:val="22"/>
        </w:rPr>
        <w:t>Un SIEM agregă loguri, le normalizează, aplică reguli de corelare și produce alerte. Funcțiile tipice includ: căutare și investigație, raportare pentru conformitate, integrare cu sisteme de ticketing și orchestrare a răspunsului. În literatura de specialitate, SIEM-ul este adesea descris ca o componentă centrală a operațiunilor de securitate, dar și ca o sursă de volum mare de evenimente care trebuie filtrate inteligent.</w:t>
      </w:r>
    </w:p>
    <w:p>
      <w:pPr>
        <w:ind w:firstLine="709"/>
        <w:jc w:val="both"/>
      </w:pPr>
      <w:r>
        <w:rPr>
          <w:rFonts w:ascii="Times New Roman" w:hAnsi="Times New Roman"/>
          <w:sz w:val="22"/>
        </w:rPr>
        <w:t>Limitarea fundamentală a SIEM-ului bazat exclusiv pe reguli este că regulile exprimă ceea ce deja cunoaștem. Atacatorii pot ocoli semnături cunoscute sau pot acționa sub pragurile care declanșează corelări. De aceea, un strat probabilistic (scor) și un strat semantic (RAG) pot îmbunătăți acoperirea fără a elimina auditabilitatea regulilor deterministe.</w:t>
      </w:r>
    </w:p>
    <w:p>
      <w:pPr>
        <w:spacing w:before="240" w:after="120"/>
        <w:jc w:val="left"/>
      </w:pPr>
      <w:r>
        <w:rPr>
          <w:rFonts w:ascii="Times New Roman" w:hAnsi="Times New Roman"/>
          <w:b/>
          <w:sz w:val="28"/>
        </w:rPr>
        <w:t>2.5. Wazuh ca platformă SIEM</w:t>
      </w:r>
    </w:p>
    <w:p>
      <w:pPr>
        <w:spacing w:before="240" w:after="120"/>
        <w:jc w:val="left"/>
      </w:pPr>
      <w:r>
        <w:rPr>
          <w:rFonts w:ascii="Times New Roman" w:hAnsi="Times New Roman"/>
          <w:b/>
          <w:sz w:val="24"/>
        </w:rPr>
        <w:t>2.5.1. Motorul de detecție și ierarhia regulilor</w:t>
      </w:r>
    </w:p>
    <w:p>
      <w:pPr>
        <w:ind w:firstLine="709"/>
        <w:jc w:val="both"/>
      </w:pPr>
      <w:r>
        <w:rPr>
          <w:rFonts w:ascii="Times New Roman" w:hAnsi="Times New Roman"/>
          <w:sz w:val="22"/>
        </w:rPr>
        <w:t>Wazuh produce alerte structurate în JSON, incluzând identificatorul și nivelul regulii, descrierea, grupurile, etichetele MITRE (când sunt disponibile), agentul sursă și câmpurile din payload (de exemplu srcip, srcport, utilizator, comenzi). Această structură este esențială pentru extragerea automatizată de caracteristici și pentru interogări ulterioare.</w:t>
      </w:r>
    </w:p>
    <w:p>
      <w:pPr>
        <w:ind w:firstLine="709"/>
        <w:jc w:val="both"/>
      </w:pPr>
      <w:r>
        <w:rPr>
          <w:rFonts w:ascii="Times New Roman" w:hAnsi="Times New Roman"/>
          <w:sz w:val="22"/>
        </w:rPr>
        <w:t>Totuși, prezența etichetelor MITRE nu echivalează întotdeauna cu un incident malign: multe evenimente de rutină pot fi cartografiate la tehnici pentru claritate tactică. Din acest motiv, în implementarea de față, etichetele MITRE nu sunt folosite direct ca semnal de etichetă „atac” pentru antrenare, pentru a evita contaminarea setului benign.</w:t>
      </w:r>
    </w:p>
    <w:p>
      <w:pPr>
        <w:spacing w:before="240" w:after="120"/>
        <w:jc w:val="left"/>
      </w:pPr>
      <w:r>
        <w:rPr>
          <w:rFonts w:ascii="Times New Roman" w:hAnsi="Times New Roman"/>
          <w:b/>
          <w:sz w:val="24"/>
        </w:rPr>
        <w:t>2.5.2. Modulele Wazuh relevante proiectului</w:t>
      </w:r>
    </w:p>
    <w:p>
      <w:pPr>
        <w:ind w:firstLine="709"/>
        <w:jc w:val="both"/>
      </w:pPr>
      <w:r>
        <w:rPr>
          <w:rFonts w:ascii="Times New Roman" w:hAnsi="Times New Roman"/>
          <w:sz w:val="22"/>
        </w:rPr>
        <w:t>Proiectul consumă alertele agregate (fișiere tip alerts.json / alerts.log) și le procesează în backend pentru: (a) afișare în interfață, (b) scorizare cu Isolation Forest, (c) căutare lexicală în sesiunea curentă de monitorizare, (d) augmentarea mesajului către LLM cu fragmente din threat intelligence recuperate din Qdrant.</w:t>
      </w:r>
    </w:p>
    <w:p>
      <w:pPr>
        <w:spacing w:before="240" w:after="120"/>
        <w:jc w:val="left"/>
      </w:pPr>
      <w:r>
        <w:rPr>
          <w:rFonts w:ascii="Times New Roman" w:hAnsi="Times New Roman"/>
          <w:b/>
          <w:sz w:val="24"/>
        </w:rPr>
        <w:t>2.5.3. Structura unei alerte reale</w:t>
      </w:r>
    </w:p>
    <w:p>
      <w:pPr>
        <w:ind w:firstLine="709"/>
        <w:jc w:val="both"/>
      </w:pPr>
      <w:r>
        <w:rPr>
          <w:rFonts w:ascii="Times New Roman" w:hAnsi="Times New Roman"/>
          <w:sz w:val="22"/>
        </w:rPr>
        <w:t>O alertă tipică conține timestamp, rule.id, rule.level, rule.description, rule.groups, câmpul full_log (text brut foarte util pentru cuvinte-cheie precum failed/denied), secțiunea data cu câmpuri specifice sursei, și metadata despre agent. Această heterogenitate impune o inginerie atentă a caracteristicilor: unele semnale trebuie citite din full_log, nu doar din mesajul scurt, pentru a reflecta realitatea operațională.</w:t>
      </w:r>
    </w:p>
    <w:p>
      <w:pPr>
        <w:spacing w:before="240" w:after="120"/>
        <w:jc w:val="left"/>
      </w:pPr>
      <w:r>
        <w:rPr>
          <w:rFonts w:ascii="Times New Roman" w:hAnsi="Times New Roman"/>
          <w:b/>
          <w:sz w:val="24"/>
        </w:rPr>
        <w:t>2.5.4. Analiza AI Threat Engine asupra alertei</w:t>
      </w:r>
    </w:p>
    <w:p>
      <w:pPr>
        <w:ind w:firstLine="709"/>
        <w:jc w:val="both"/>
      </w:pPr>
      <w:r>
        <w:rPr>
          <w:rFonts w:ascii="Times New Roman" w:hAnsi="Times New Roman"/>
          <w:sz w:val="22"/>
        </w:rPr>
        <w:t>Pipeline-ul aplicat unei alerte include: extragerea vectorului de caracteristici, scalarea, aplicarea decision_function din Isolation Forest, normalizarea în 0–100, compararea cu pragul învățat, aplicarea excepțiilor utilizator (reguli benign), etichetarea pentru afișare (NORMAL / SUSPICIOUS / HIGH / BENIGN în API-ul de listare), și — în modul chat — interogarea bazei de cunoștințe și construirea contextului pentru LLM.</w:t>
      </w:r>
    </w:p>
    <w:p>
      <w:pPr>
        <w:spacing w:before="240" w:after="120"/>
        <w:jc w:val="left"/>
      </w:pPr>
      <w:r>
        <w:rPr>
          <w:rFonts w:ascii="Times New Roman" w:hAnsi="Times New Roman"/>
          <w:b/>
          <w:sz w:val="28"/>
        </w:rPr>
        <w:t>2.6. Limitările SIEM tradițional și ale Wazuh</w:t>
      </w:r>
    </w:p>
    <w:p>
      <w:pPr>
        <w:ind w:firstLine="709"/>
        <w:jc w:val="both"/>
      </w:pPr>
      <w:r>
        <w:rPr>
          <w:rFonts w:ascii="Times New Roman" w:hAnsi="Times New Roman"/>
          <w:sz w:val="22"/>
        </w:rPr>
        <w:t>Printre limitări se numără: dependența de tuning-ul regulilor, riscul de false pozitive la evenimente administrative legitime cu nivel ridicat, dificultatea generalizării la atacuri noi și costul investigării manuale. Wazuh, ca platformă open-source, aduce avantaje de transparență și extensibilitate, dar necesită integrare suplimentară pentru capabilități de tip „AI product” (vector DB, orchestrare LLM, managementul modelelor).</w:t>
      </w:r>
    </w:p>
    <w:p>
      <w:pPr>
        <w:ind w:firstLine="709"/>
        <w:jc w:val="both"/>
      </w:pPr>
      <w:r>
        <w:rPr>
          <w:rFonts w:ascii="Times New Roman" w:hAnsi="Times New Roman"/>
          <w:sz w:val="22"/>
        </w:rPr>
        <w:t>Soluția propusă tratează explicit unele capcane practice: excluderea unor intervale CDN pentru a nu marca traficul legitim prin proxy ca „IP extern suspect”, plafonarea unor caracteristici (ex. număr de cuvinte) pentru a nu confunde rapoarte verbose benign cu loguri de atac complexe, și separarea seturilor train/test pentru a măsura generalizarea.</w:t>
      </w:r>
    </w:p>
    <w:p>
      <w:r>
        <w:br w:type="page"/>
      </w:r>
    </w:p>
    <w:p>
      <w:pPr>
        <w:spacing w:after="240"/>
        <w:jc w:val="center"/>
      </w:pPr>
      <w:r>
        <w:rPr>
          <w:rFonts w:ascii="Times New Roman" w:hAnsi="Times New Roman"/>
          <w:b/>
          <w:sz w:val="44"/>
        </w:rPr>
        <w:t>3. Metode și algoritmi utilizați</w:t>
      </w:r>
    </w:p>
    <w:p>
      <w:pPr>
        <w:spacing w:before="240" w:after="120"/>
        <w:jc w:val="left"/>
      </w:pPr>
      <w:r>
        <w:rPr>
          <w:rFonts w:ascii="Times New Roman" w:hAnsi="Times New Roman"/>
          <w:b/>
          <w:sz w:val="28"/>
        </w:rPr>
        <w:t>3.1. Isolation Forest pentru detecția anomaliilor</w:t>
      </w:r>
    </w:p>
    <w:p>
      <w:pPr>
        <w:spacing w:before="240" w:after="120"/>
        <w:jc w:val="left"/>
      </w:pPr>
      <w:r>
        <w:rPr>
          <w:rFonts w:ascii="Times New Roman" w:hAnsi="Times New Roman"/>
          <w:b/>
          <w:sz w:val="24"/>
        </w:rPr>
        <w:t>3.1.1. Rolul său în detectarea amenințărilor necunoscute</w:t>
      </w:r>
    </w:p>
    <w:p>
      <w:pPr>
        <w:ind w:firstLine="709"/>
        <w:jc w:val="both"/>
      </w:pPr>
      <w:r>
        <w:rPr>
          <w:rFonts w:ascii="Times New Roman" w:hAnsi="Times New Roman"/>
          <w:sz w:val="22"/>
        </w:rPr>
        <w:t>Isolation Forest construiește o pădure de arbori de izolare prin partitionări aleatoare ale spațiului caracteristicilor. Intuiția fundamentală este că punctele anomale sunt mai ușor de izolat (necesită mai puține split-uri) decât punctele normale, aflate dense în interiorul distribuției. Algoritmul este atractiv în SOC deoarece nu presupune o formă parametrică strictă a distribuției datelor și funcționează bine în dimensiuni moderate, cu precauții de preprocesare.</w:t>
      </w:r>
    </w:p>
    <w:p>
      <w:pPr>
        <w:ind w:firstLine="709"/>
        <w:jc w:val="both"/>
      </w:pPr>
      <w:r>
        <w:rPr>
          <w:rFonts w:ascii="Times New Roman" w:hAnsi="Times New Roman"/>
          <w:sz w:val="22"/>
        </w:rPr>
        <w:t>În această lucrare, modelul este antrenat pe alerte clasificate ca benign în etapa de pregătire a datelor. Alertelor de tip atac li se calculează scorul post-antrenare, așteptându-se ca acestea să iasă în evidență față de baza de referință. Această strategie este aliniată cu practica „one-class learning” în care clasa normală este bine reprezentată, iar anomaliile sunt rare și eterogene.</w:t>
      </w:r>
    </w:p>
    <w:p>
      <w:pPr>
        <w:spacing w:before="240" w:after="120"/>
        <w:jc w:val="left"/>
      </w:pPr>
      <w:r>
        <w:rPr>
          <w:rFonts w:ascii="Times New Roman" w:hAnsi="Times New Roman"/>
          <w:b/>
          <w:sz w:val="24"/>
        </w:rPr>
        <w:t>3.1.2. Comparație cu metode alternative</w:t>
      </w:r>
    </w:p>
    <w:p>
      <w:pPr>
        <w:ind w:firstLine="709"/>
        <w:jc w:val="both"/>
      </w:pPr>
      <w:r>
        <w:rPr>
          <w:rFonts w:ascii="Times New Roman" w:hAnsi="Times New Roman"/>
          <w:sz w:val="22"/>
        </w:rPr>
        <w:t>Alternativele includ One-Class SVM, Local Outlier Factor, autoencoderi și clasificatori supervizate (Random Forest, gradient boosting). Supervizarea completă necesită etichete fiabile pentru toate clasele; în datele Wazuh, etichetarea automată prin reguli și cuvinte cheie este utilă, dar imperfectă — de aceea evaluarea include atât metrici pe setul de antrenare, cât și pe un set de test separat, pentru a observa stabilitatea și supra-adaptarea.</w:t>
      </w:r>
    </w:p>
    <w:p>
      <w:pPr>
        <w:spacing w:before="240" w:after="120"/>
        <w:jc w:val="left"/>
      </w:pPr>
      <w:r>
        <w:rPr>
          <w:rFonts w:ascii="Times New Roman" w:hAnsi="Times New Roman"/>
          <w:b/>
          <w:sz w:val="24"/>
        </w:rPr>
        <w:t>3.1.3. Colectarea și strategia datelor de antrenare</w:t>
      </w:r>
    </w:p>
    <w:p>
      <w:pPr>
        <w:ind w:firstLine="709"/>
        <w:jc w:val="both"/>
      </w:pPr>
      <w:r>
        <w:rPr>
          <w:rFonts w:ascii="Times New Roman" w:hAnsi="Times New Roman"/>
          <w:sz w:val="22"/>
        </w:rPr>
        <w:t>Strategia aplicată în codul proiectului include: agregarea alertelor în fișiere combinate, colectarea zilnică opțională, separarea alertelor „curate” de cele folosite la evaluarea atacurilor și păstrarea unui fișier de test distinct (all_test_alerts.json) pentru măsurători după reantrenare.</w:t>
      </w:r>
    </w:p>
    <w:p>
      <w:pPr>
        <w:ind w:firstLine="709"/>
        <w:jc w:val="both"/>
      </w:pPr>
      <w:r>
        <w:rPr>
          <w:rFonts w:ascii="Times New Roman" w:hAnsi="Times New Roman"/>
          <w:sz w:val="22"/>
        </w:rPr>
        <w:t>Excepțiile definite de utilizator în backend (benign_rules.json) influențează atât antrenarea, cât și inferența: o regulă marcată benign nu mai este tratată ca atac în construirea ground truth-ului pentru rapoarte, iar scorul poate fi plafonat pentru a reduce alarmele false repetitive.</w:t>
      </w:r>
    </w:p>
    <w:p>
      <w:pPr>
        <w:spacing w:before="240" w:after="120"/>
        <w:jc w:val="left"/>
      </w:pPr>
      <w:r>
        <w:rPr>
          <w:rFonts w:ascii="Times New Roman" w:hAnsi="Times New Roman"/>
          <w:b/>
          <w:sz w:val="28"/>
        </w:rPr>
        <w:t>3.2. RAG (Retrieval-Augmented Generation)</w:t>
      </w:r>
    </w:p>
    <w:p>
      <w:pPr>
        <w:ind w:firstLine="709"/>
        <w:jc w:val="both"/>
      </w:pPr>
      <w:r>
        <w:rPr>
          <w:rFonts w:ascii="Times New Roman" w:hAnsi="Times New Roman"/>
          <w:sz w:val="22"/>
        </w:rPr>
        <w:t>RAG combină două module: un modul de recuperare (retrieval) care returnează documente relevante interogării, și un modul generator (LLM) care produce răspunsul condiționat de aceste documente. În aplicația de față, recuperarea se face din colecția Qdrant aferentă threat intelligence-ului, iar generatorul este un LLM servit local prin API compatibil Ollama.</w:t>
      </w:r>
    </w:p>
    <w:p>
      <w:pPr>
        <w:ind w:firstLine="709"/>
        <w:jc w:val="both"/>
      </w:pPr>
      <w:r>
        <w:rPr>
          <w:rFonts w:ascii="Times New Roman" w:hAnsi="Times New Roman"/>
          <w:sz w:val="22"/>
        </w:rPr>
        <w:t>Un principiu important implementat în backend este „porțile” de context: dacă toate alertele potrivite interogării au nivel scăzut, threat intelligence-ul nu este injectat în prompt, pentru a evita asocierea forțată a evenimentelor de rutină cu tactici de atac.</w:t>
      </w:r>
    </w:p>
    <w:p>
      <w:pPr>
        <w:spacing w:before="240" w:after="120"/>
        <w:jc w:val="left"/>
      </w:pPr>
      <w:r>
        <w:rPr>
          <w:rFonts w:ascii="Times New Roman" w:hAnsi="Times New Roman"/>
          <w:b/>
          <w:sz w:val="28"/>
        </w:rPr>
        <w:t>3.3. Căutare hibridă: semantică + BM25 (sparse)</w:t>
      </w:r>
    </w:p>
    <w:p>
      <w:pPr>
        <w:ind w:firstLine="709"/>
        <w:jc w:val="both"/>
      </w:pPr>
      <w:r>
        <w:rPr>
          <w:rFonts w:ascii="Times New Roman" w:hAnsi="Times New Roman"/>
          <w:sz w:val="22"/>
        </w:rPr>
        <w:t>Căutarea exclusiv semantică poate rata potrivirile lexicale exacte (nume CVE, string-uri unice, identificatori). Recuperarea exclusiv lexicală poate rata sinonimia și reformulările. De aceea, sistemul folosește două reprezentări: un vector dens (similaritate cosinus) și un vector sparse asociat unui model BM25-like prin fastembed, urmate de fuziunea listelor de candidați prin Reciprocal Rank Fusion (RRF).</w:t>
      </w:r>
    </w:p>
    <w:p>
      <w:pPr>
        <w:ind w:firstLine="709"/>
        <w:jc w:val="both"/>
      </w:pPr>
      <w:r>
        <w:rPr>
          <w:rFonts w:ascii="Times New Roman" w:hAnsi="Times New Roman"/>
          <w:sz w:val="22"/>
        </w:rPr>
        <w:t>RRF acumulează contribuții inverse proporționale cu rangul în fiecare listă, astfel încât documentele care apar bine în ambele moduri de căutare urcă în clasament. Constanta de netezire k (implicit 60) controlează influența rangurilor foarte mari față de cele mici.</w:t>
      </w:r>
    </w:p>
    <w:p>
      <w:pPr>
        <w:spacing w:before="240" w:after="120"/>
        <w:jc w:val="left"/>
      </w:pPr>
      <w:r>
        <w:rPr>
          <w:rFonts w:ascii="Times New Roman" w:hAnsi="Times New Roman"/>
          <w:b/>
          <w:sz w:val="28"/>
        </w:rPr>
        <w:t>3.4. Embedding-uri și indexare vectorială</w:t>
      </w:r>
    </w:p>
    <w:p>
      <w:pPr>
        <w:ind w:firstLine="709"/>
        <w:jc w:val="both"/>
      </w:pPr>
      <w:r>
        <w:rPr>
          <w:rFonts w:ascii="Times New Roman" w:hAnsi="Times New Roman"/>
          <w:sz w:val="22"/>
        </w:rPr>
        <w:t>Embedding-urile dense transformă textul episoadelor (rezumat + etichete + entități) într-un spațiu vectorial unde proximitatea semnifică similaritate semantică. Stocarea și căutarea acestor vectori în Qdrant permite scalarea către sute de mii/milioane de puncte, cu filtrare pe metadate (source_type, tags, episode_type).</w:t>
      </w:r>
    </w:p>
    <w:p>
      <w:pPr>
        <w:ind w:firstLine="709"/>
        <w:jc w:val="both"/>
      </w:pPr>
      <w:r>
        <w:rPr>
          <w:rFonts w:ascii="Times New Roman" w:hAnsi="Times New Roman"/>
          <w:sz w:val="22"/>
        </w:rPr>
        <w:t>PostgreSQL stochează în paralel înregistrări structurate (JSONB) utile pentru audit, interogări SQL și reîncărcare controlată a datelor, în timp ce Qdrant optimizează latența de interogare pentru RAG.</w:t>
      </w:r>
    </w:p>
    <w:p>
      <w:pPr>
        <w:spacing w:before="240" w:after="120"/>
        <w:jc w:val="left"/>
      </w:pPr>
      <w:r>
        <w:rPr>
          <w:rFonts w:ascii="Times New Roman" w:hAnsi="Times New Roman"/>
          <w:b/>
          <w:sz w:val="28"/>
        </w:rPr>
        <w:t>3.5. Re-ranking (cross-encoder) — perspective</w:t>
      </w:r>
    </w:p>
    <w:p>
      <w:pPr>
        <w:ind w:firstLine="709"/>
        <w:jc w:val="both"/>
      </w:pPr>
      <w:r>
        <w:rPr>
          <w:rFonts w:ascii="Times New Roman" w:hAnsi="Times New Roman"/>
          <w:sz w:val="22"/>
        </w:rPr>
        <w:t>Re-ranking-ul cu cross-encoder evaluează perechi (interogare, document) cu un model bidirecțional, oferind adesea o precizie mai mare la top-k decât similaritatea cosinus dintre embedding-uri create separat. În versiunea actuală a codului, precizia la top-k este îmbunătățită prin prefetch suficient de mare și RRF; adăugarea unui cross-encoder este o extensie naturală pentru medii cu cerințe stricte de calitate a recuperării.</w:t>
      </w:r>
    </w:p>
    <w:p>
      <w:pPr>
        <w:ind w:firstLine="709"/>
        <w:jc w:val="both"/>
      </w:pPr>
      <w:r>
        <w:rPr>
          <w:rFonts w:ascii="Times New Roman" w:hAnsi="Times New Roman"/>
          <w:sz w:val="22"/>
        </w:rPr>
        <w:t>Tabelul 3.1 sintetizează pașii pipeline-ului de căutare hibridă.</w:t>
      </w:r>
    </w:p>
    <w:p>
      <w:pPr>
        <w:spacing w:before="120" w:after="60"/>
        <w:jc w:val="left"/>
      </w:pPr>
      <w:r>
        <w:rPr>
          <w:rFonts w:ascii="Times New Roman" w:hAnsi="Times New Roman"/>
          <w:i/>
          <w:sz w:val="22"/>
        </w:rPr>
        <w:t>Tabel 3.1. Pașii pipeline-ului de recuperare hibridă (dens + sparse + RRF).</w:t>
      </w:r>
    </w:p>
    <w:tbl>
      <w:tblPr>
        <w:tblStyle w:val="TableGrid"/>
        <w:tblW w:type="auto" w:w="0"/>
        <w:tblLook w:firstColumn="1" w:firstRow="1" w:lastColumn="0" w:lastRow="0" w:noHBand="0" w:noVBand="1" w:val="04A0"/>
      </w:tblPr>
      <w:tblGrid>
        <w:gridCol w:w="4702"/>
        <w:gridCol w:w="4702"/>
      </w:tblGrid>
      <w:tr>
        <w:tc>
          <w:tcPr>
            <w:tcW w:type="dxa" w:w="4702"/>
            <w:shd w:fill="E7E6E6"/>
          </w:tcPr>
          <w:p>
            <w:r>
              <w:rPr>
                <w:b/>
              </w:rPr>
              <w:t>Pas</w:t>
            </w:r>
          </w:p>
        </w:tc>
        <w:tc>
          <w:tcPr>
            <w:tcW w:type="dxa" w:w="4702"/>
            <w:shd w:fill="E7E6E6"/>
          </w:tcPr>
          <w:p>
            <w:r>
              <w:rPr>
                <w:b/>
              </w:rPr>
              <w:t>Descriere</w:t>
            </w:r>
          </w:p>
        </w:tc>
      </w:tr>
      <w:tr>
        <w:tc>
          <w:tcPr>
            <w:tcW w:type="dxa" w:w="4702"/>
          </w:tcPr>
          <w:p>
            <w:r>
              <w:t>P1</w:t>
            </w:r>
          </w:p>
        </w:tc>
        <w:tc>
          <w:tcPr>
            <w:tcW w:type="dxa" w:w="4702"/>
          </w:tcPr>
          <w:p>
            <w:r>
              <w:t>Construirea textului episodului din summary, tags și entități.</w:t>
            </w:r>
          </w:p>
        </w:tc>
      </w:tr>
      <w:tr>
        <w:tc>
          <w:tcPr>
            <w:tcW w:type="dxa" w:w="4702"/>
          </w:tcPr>
          <w:p>
            <w:r>
              <w:t>P2</w:t>
            </w:r>
          </w:p>
        </w:tc>
        <w:tc>
          <w:tcPr>
            <w:tcW w:type="dxa" w:w="4702"/>
          </w:tcPr>
          <w:p>
            <w:r>
              <w:t>Codare densă cu SentenceTransformer și normalizare.</w:t>
            </w:r>
          </w:p>
        </w:tc>
      </w:tr>
      <w:tr>
        <w:tc>
          <w:tcPr>
            <w:tcW w:type="dxa" w:w="4702"/>
          </w:tcPr>
          <w:p>
            <w:r>
              <w:t>P3</w:t>
            </w:r>
          </w:p>
        </w:tc>
        <w:tc>
          <w:tcPr>
            <w:tcW w:type="dxa" w:w="4702"/>
          </w:tcPr>
          <w:p>
            <w:r>
              <w:t>Codare sparse (BM25-like) pentru potriviri lexicale.</w:t>
            </w:r>
          </w:p>
        </w:tc>
      </w:tr>
      <w:tr>
        <w:tc>
          <w:tcPr>
            <w:tcW w:type="dxa" w:w="4702"/>
          </w:tcPr>
          <w:p>
            <w:r>
              <w:t>P4</w:t>
            </w:r>
          </w:p>
        </w:tc>
        <w:tc>
          <w:tcPr>
            <w:tcW w:type="dxa" w:w="4702"/>
          </w:tcPr>
          <w:p>
            <w:r>
              <w:t>Prefetch candidați (ex. 40) din fiecare canal + filtre metadata.</w:t>
            </w:r>
          </w:p>
        </w:tc>
      </w:tr>
      <w:tr>
        <w:tc>
          <w:tcPr>
            <w:tcW w:type="dxa" w:w="4702"/>
          </w:tcPr>
          <w:p>
            <w:r>
              <w:t>P5</w:t>
            </w:r>
          </w:p>
        </w:tc>
        <w:tc>
          <w:tcPr>
            <w:tcW w:type="dxa" w:w="4702"/>
          </w:tcPr>
          <w:p>
            <w:r>
              <w:t>Fuziune RRF și returnare top-k rezultate către stratul aplicație.</w:t>
            </w:r>
          </w:p>
        </w:tc>
      </w:tr>
    </w:tbl>
    <w:p/>
    <w:p>
      <w:r>
        <w:br w:type="page"/>
      </w:r>
    </w:p>
    <w:p>
      <w:pPr>
        <w:spacing w:after="240"/>
        <w:jc w:val="center"/>
      </w:pPr>
      <w:r>
        <w:rPr>
          <w:rFonts w:ascii="Times New Roman" w:hAnsi="Times New Roman"/>
          <w:b/>
          <w:sz w:val="44"/>
        </w:rPr>
        <w:t>4. Arhitectura și proiectarea soluției</w:t>
      </w:r>
    </w:p>
    <w:p>
      <w:pPr>
        <w:spacing w:before="240" w:after="120"/>
        <w:jc w:val="left"/>
      </w:pPr>
      <w:r>
        <w:rPr>
          <w:rFonts w:ascii="Times New Roman" w:hAnsi="Times New Roman"/>
          <w:b/>
          <w:sz w:val="28"/>
        </w:rPr>
        <w:t>4.1. Prezentare generală a arhitecturii</w:t>
      </w:r>
    </w:p>
    <w:p>
      <w:pPr>
        <w:ind w:firstLine="709"/>
        <w:jc w:val="both"/>
      </w:pPr>
      <w:r>
        <w:rPr>
          <w:rFonts w:ascii="Times New Roman" w:hAnsi="Times New Roman"/>
          <w:sz w:val="22"/>
        </w:rPr>
        <w:t>Arhitectura este organizată pe straturi: (1) sursa de telemetrie Wazuh; (2) motorul de caracteristici și Isolation Forest în pachetul ai_engine; (3) subsistemul RAG (ingestion, indexare, QdrantStore); (4) backend Flask care orchestrează API-urile, limitarea ratelor și integrarea LLM; (5) frontend static pentru dashboard și chat; (6) containere Docker pentru Qdrant și PostgreSQL.</w:t>
      </w:r>
    </w:p>
    <w:p>
      <w:pPr>
        <w:ind w:firstLine="709"/>
        <w:jc w:val="both"/>
      </w:pPr>
      <w:r>
        <w:rPr>
          <w:rFonts w:ascii="Times New Roman" w:hAnsi="Times New Roman"/>
          <w:sz w:val="22"/>
        </w:rPr>
        <w:t>Separarea responsabilităților este importantă: RAGCoreSystem gestionează operațiuni de ingest/index/search, în timp ce scorizarea și pragurile de anomalie rămân în AnomalyDetector. Aceasta permite înlocuirea sau upgrade-ul unui strat fără a invalida întregul sistem.</w:t>
      </w:r>
    </w:p>
    <w:p>
      <w:pPr>
        <w:spacing w:before="240" w:after="120"/>
        <w:jc w:val="left"/>
      </w:pPr>
      <w:r>
        <w:rPr>
          <w:rFonts w:ascii="Times New Roman" w:hAnsi="Times New Roman"/>
          <w:b/>
          <w:sz w:val="28"/>
        </w:rPr>
        <w:t>4.2. Diagrama componentelor (descriere pentru Figura 4.1)</w:t>
      </w:r>
    </w:p>
    <w:p>
      <w:pPr>
        <w:spacing w:before="120"/>
        <w:jc w:val="center"/>
      </w:pPr>
      <w:r>
        <w:rPr>
          <w:rFonts w:ascii="Times New Roman" w:hAnsi="Times New Roman"/>
          <w:i/>
          <w:sz w:val="22"/>
        </w:rPr>
        <w:t>Figura 4.1. Diagrama componentelor: Wazuh → backend (scor + căutare alerte) → Qdrant/PostgreSQL → LLM. Inserați în Word diagrama realizată în draw.io / Lucidchart conform acestei descrieri.</w:t>
      </w:r>
    </w:p>
    <w:p>
      <w:pPr>
        <w:ind w:firstLine="709"/>
        <w:jc w:val="both"/>
      </w:pPr>
      <w:r>
        <w:rPr>
          <w:rFonts w:ascii="Times New Roman" w:hAnsi="Times New Roman"/>
          <w:sz w:val="22"/>
        </w:rPr>
        <w:t>Componente principale și fluxuri: (C1) Agent Wazuh și managerul emit alerte JSONL; (C2) backend-ul citește incremental alerts.json pentru sesiune; (C3) AnomalyDetector încarcă modelul .pkl (cale producție sau locală); (C4) QdrantStore realizează interogări hibrid; (C5) endpoint-ul /api/chat combină context TI + alerte și apelează LLM; (C6) utilizatorul poate încărca documente noi în bază prin /api/knowledge/upload.</w:t>
      </w:r>
    </w:p>
    <w:p>
      <w:pPr>
        <w:spacing w:before="240" w:after="120"/>
        <w:jc w:val="left"/>
      </w:pPr>
      <w:r>
        <w:rPr>
          <w:rFonts w:ascii="Times New Roman" w:hAnsi="Times New Roman"/>
          <w:b/>
          <w:sz w:val="28"/>
        </w:rPr>
        <w:t>4.3. Fluxul datelor și pipeline-ul de procesare</w:t>
      </w:r>
    </w:p>
    <w:p>
      <w:pPr>
        <w:spacing w:before="120"/>
        <w:jc w:val="center"/>
      </w:pPr>
      <w:r>
        <w:rPr>
          <w:rFonts w:ascii="Times New Roman" w:hAnsi="Times New Roman"/>
          <w:i/>
          <w:sz w:val="22"/>
        </w:rPr>
        <w:t>Figura 4.2. Fluxul pentru /api/chat: interogare → căutare alerte → scor IF → (opțional) căutare Qdrant → construire prompt → răspuns LLM. Inserați fluxul sub formă de organigramă în lucrarea finală.</w:t>
      </w:r>
    </w:p>
    <w:p>
      <w:pPr>
        <w:ind w:firstLine="709"/>
        <w:jc w:val="both"/>
      </w:pPr>
      <w:r>
        <w:rPr>
          <w:rFonts w:ascii="Times New Roman" w:hAnsi="Times New Roman"/>
          <w:sz w:val="22"/>
        </w:rPr>
        <w:t>Fluxul de chat implementat include pași determinați de cod: căutarea în memorie a alertelor recente prin potrivire lexicală, scorizarea alertelor găsite, decizia de a include sau nu threat intelligence-ul în funcție de nivelul maxim al alertelor potrivite, recuperarea fragmentelor din Qdrant, concatenarea contextului și apelul LLM (streaming sau bloc).</w:t>
      </w:r>
    </w:p>
    <w:p>
      <w:pPr>
        <w:ind w:firstLine="709"/>
        <w:jc w:val="both"/>
      </w:pPr>
      <w:r>
        <w:rPr>
          <w:rFonts w:ascii="Times New Roman" w:hAnsi="Times New Roman"/>
          <w:sz w:val="22"/>
        </w:rPr>
        <w:t>Fluxul pentru monitorizare include SSE din alerts.log (parsare blocuri) și API-uri JSON pentru statistici și alerte scorificate.</w:t>
      </w:r>
    </w:p>
    <w:p>
      <w:pPr>
        <w:spacing w:before="240" w:after="120"/>
        <w:jc w:val="left"/>
      </w:pPr>
      <w:r>
        <w:rPr>
          <w:rFonts w:ascii="Times New Roman" w:hAnsi="Times New Roman"/>
          <w:b/>
          <w:sz w:val="28"/>
        </w:rPr>
        <w:t>4.4. Structura bazei de cunoștințe RAG</w:t>
      </w:r>
    </w:p>
    <w:p>
      <w:pPr>
        <w:ind w:firstLine="709"/>
        <w:jc w:val="both"/>
      </w:pPr>
      <w:r>
        <w:rPr>
          <w:rFonts w:ascii="Times New Roman" w:hAnsi="Times New Roman"/>
          <w:sz w:val="22"/>
        </w:rPr>
        <w:t>Baza de cunoștințe include episoade generate din surse multiple: tehnici MITRE ATT&amp;CK, reguli YARA, reguli Sigma, catalog CISA KEV, controale CIS, D3FEND, grupuri și software MITRE, pulsuri OTX (dacă este configurată cheia API), advisory-uri vendor și încărcări utilizator. Fiecare înregistrare devine un payload Qdrant cu câmpuri indexate pentru filtrare.</w:t>
      </w:r>
    </w:p>
    <w:p>
      <w:pPr>
        <w:ind w:firstLine="709"/>
        <w:jc w:val="both"/>
      </w:pPr>
      <w:r>
        <w:rPr>
          <w:rFonts w:ascii="Times New Roman" w:hAnsi="Times New Roman"/>
          <w:sz w:val="22"/>
        </w:rPr>
        <w:t>Episoadele de alertă (colecție separată) permit căutarea de similitudine între incidente, utilă pentru triaj comparativ și pentru construirea cazurilor repetitive.</w:t>
      </w:r>
    </w:p>
    <w:p>
      <w:pPr>
        <w:spacing w:before="240" w:after="120"/>
        <w:jc w:val="left"/>
      </w:pPr>
      <w:r>
        <w:rPr>
          <w:rFonts w:ascii="Times New Roman" w:hAnsi="Times New Roman"/>
          <w:b/>
          <w:sz w:val="28"/>
        </w:rPr>
        <w:t>4.5. Proiectarea bazei de date și stocare</w:t>
      </w:r>
    </w:p>
    <w:p>
      <w:pPr>
        <w:ind w:firstLine="709"/>
        <w:jc w:val="both"/>
      </w:pPr>
      <w:r>
        <w:rPr>
          <w:rFonts w:ascii="Times New Roman" w:hAnsi="Times New Roman"/>
          <w:sz w:val="22"/>
        </w:rPr>
        <w:t>PostgreSQL păstrează înregistrări normalizate (id, source_type, name, description, tags, raw_data JSONB) și jurnalizează ingestia. Qdrant păstrează vectorii și metadatele pentru căutare rapidă. Această separare urmează principiul poliglotei de persistență: fiecărui tip de interogare îi corespunde un motor optimizat.</w:t>
      </w:r>
    </w:p>
    <w:p>
      <w:pPr>
        <w:ind w:firstLine="709"/>
        <w:jc w:val="both"/>
      </w:pPr>
      <w:r>
        <w:rPr>
          <w:rFonts w:ascii="Times New Roman" w:hAnsi="Times New Roman"/>
          <w:sz w:val="22"/>
        </w:rPr>
        <w:t>Docker Compose fixează versiunile serviciilor, volumele persistente și healthcheck-urile, ceea ce sprijină reproductibilitatea experimentelor și a demonstrațiilor.</w:t>
      </w:r>
    </w:p>
    <w:p>
      <w:r>
        <w:br w:type="page"/>
      </w:r>
    </w:p>
    <w:p>
      <w:pPr>
        <w:spacing w:after="240"/>
        <w:jc w:val="center"/>
      </w:pPr>
      <w:r>
        <w:rPr>
          <w:rFonts w:ascii="Times New Roman" w:hAnsi="Times New Roman"/>
          <w:b/>
          <w:sz w:val="44"/>
        </w:rPr>
        <w:t>5. Implementarea soluției</w:t>
      </w:r>
    </w:p>
    <w:p>
      <w:pPr>
        <w:spacing w:before="240" w:after="120"/>
        <w:jc w:val="left"/>
      </w:pPr>
      <w:r>
        <w:rPr>
          <w:rFonts w:ascii="Times New Roman" w:hAnsi="Times New Roman"/>
          <w:b/>
          <w:sz w:val="28"/>
        </w:rPr>
        <w:t>5.1. Stiva tehnologică</w:t>
      </w:r>
    </w:p>
    <w:p>
      <w:pPr>
        <w:ind w:firstLine="709"/>
        <w:jc w:val="both"/>
      </w:pPr>
      <w:r>
        <w:rPr>
          <w:rFonts w:ascii="Times New Roman" w:hAnsi="Times New Roman"/>
          <w:sz w:val="22"/>
        </w:rPr>
        <w:t>Implementarea principală este în Python. Backend-ul Flask expune rute pentru streaming, chat, scoruri, încărcare documente și administrarea listelor benign/suspicious. Motorul ML folosește scikit-learn (Isolation Forest, StandardScaler) și serializare joblib. Subsistemul RAG folosește sentence-transformers, fastembed, qdrant-client și driverul PostgreSQL.</w:t>
      </w:r>
    </w:p>
    <w:p>
      <w:pPr>
        <w:spacing w:before="240" w:after="120"/>
        <w:jc w:val="left"/>
      </w:pPr>
      <w:r>
        <w:rPr>
          <w:rFonts w:ascii="Times New Roman" w:hAnsi="Times New Roman"/>
          <w:b/>
          <w:sz w:val="28"/>
        </w:rPr>
        <w:t>5.2. Pipeline-ul de antrenare Isolation Forest</w:t>
      </w:r>
    </w:p>
    <w:p>
      <w:pPr>
        <w:ind w:firstLine="709"/>
        <w:jc w:val="both"/>
      </w:pPr>
      <w:r>
        <w:rPr>
          <w:rFonts w:ascii="Times New Roman" w:hAnsi="Times New Roman"/>
          <w:sz w:val="22"/>
        </w:rPr>
        <w:t>Scriptul de antrenare încarcă alerte JSONL, le separă în benign vs atac folosind aceeași logică ca la evaluare (attack_labels.py), antrenează pe benign, calibrează scor_min/scor_max pe percentile, calculează pragul ca percentile a scorurilor normalizate pe benign (cu minimum 40), salvează modelul și evaluează pe atacuri și pe benign pentru rata de detecție și false pozitive.</w:t>
      </w:r>
    </w:p>
    <w:p>
      <w:pPr>
        <w:ind w:firstLine="709"/>
        <w:jc w:val="both"/>
      </w:pPr>
      <w:r>
        <w:rPr>
          <w:rFonts w:ascii="Times New Roman" w:hAnsi="Times New Roman"/>
          <w:sz w:val="22"/>
        </w:rPr>
        <w:t>Caracteristicile extrase includ atât semnale structurale (nivel, ID regulă, număr câmpuri în data), cât și semnale comportamentale: IP sursă extern (cu excluderi CDN), pattern-uri URL suspecte, semnale de utilizator necunoscut și indicatori pentru modificări privilegiate care altfel ar arăta ca evenimente de rutină.</w:t>
      </w:r>
    </w:p>
    <w:p>
      <w:pPr>
        <w:spacing w:before="240" w:after="120"/>
        <w:jc w:val="left"/>
      </w:pPr>
      <w:r>
        <w:rPr>
          <w:rFonts w:ascii="Times New Roman" w:hAnsi="Times New Roman"/>
          <w:b/>
          <w:sz w:val="28"/>
        </w:rPr>
        <w:t>5.3. Implementarea sistemului RAG</w:t>
      </w:r>
    </w:p>
    <w:p>
      <w:pPr>
        <w:ind w:firstLine="709"/>
        <w:jc w:val="both"/>
      </w:pPr>
      <w:r>
        <w:rPr>
          <w:rFonts w:ascii="Times New Roman" w:hAnsi="Times New Roman"/>
          <w:sz w:val="22"/>
        </w:rPr>
        <w:t>Ingestia populează directorul threat_intel/ prin module dedicate. Indexerul qdrant_indexer citește fișierele JSON, construiește episoade, face upsert în PostgreSQL și indexare în Qdrant pe sursă, evitând încărcarea întregului corpus în RAM odată.</w:t>
      </w:r>
    </w:p>
    <w:p>
      <w:pPr>
        <w:ind w:firstLine="709"/>
        <w:jc w:val="both"/>
      </w:pPr>
      <w:r>
        <w:rPr>
          <w:rFonts w:ascii="Times New Roman" w:hAnsi="Times New Roman"/>
          <w:sz w:val="22"/>
        </w:rPr>
        <w:t>La interogare, QdrantStore encodă interogarea, prefetch-ează candidați din ambele spații vectoriale și fuzionează prin RRF. Rezultatele sunt mapate într-un format comun pentru Pattern Analyzer / afișare.</w:t>
      </w:r>
    </w:p>
    <w:p>
      <w:pPr>
        <w:spacing w:before="240" w:after="120"/>
        <w:jc w:val="left"/>
      </w:pPr>
      <w:r>
        <w:rPr>
          <w:rFonts w:ascii="Times New Roman" w:hAnsi="Times New Roman"/>
          <w:b/>
          <w:sz w:val="28"/>
        </w:rPr>
        <w:t>5.4. Integrarea cu Wazuh</w:t>
      </w:r>
    </w:p>
    <w:p>
      <w:pPr>
        <w:ind w:firstLine="709"/>
        <w:jc w:val="both"/>
      </w:pPr>
      <w:r>
        <w:rPr>
          <w:rFonts w:ascii="Times New Roman" w:hAnsi="Times New Roman"/>
          <w:sz w:val="22"/>
        </w:rPr>
        <w:t>Integrarea presupune acces la fișierele de alertă ale managerului Wazuh. În medii reale, backend-ul poate rula cu drepturi adecvate pentru citirea /var/ossec/logs/alerts/. În mediul de dezvoltare se pot folosi fișiere locale. Modelul antrenat poate fi scris în /var/ossec/ai_models/ sau în copie locală pentru teste.</w:t>
      </w:r>
    </w:p>
    <w:p>
      <w:pPr>
        <w:spacing w:before="240" w:after="120"/>
        <w:jc w:val="left"/>
      </w:pPr>
      <w:r>
        <w:rPr>
          <w:rFonts w:ascii="Times New Roman" w:hAnsi="Times New Roman"/>
          <w:b/>
          <w:sz w:val="28"/>
        </w:rPr>
        <w:t>5.5. Monitorizarea alertelor și procesare în timp real</w:t>
      </w:r>
    </w:p>
    <w:p>
      <w:pPr>
        <w:ind w:firstLine="709"/>
        <w:jc w:val="both"/>
      </w:pPr>
      <w:r>
        <w:rPr>
          <w:rFonts w:ascii="Times New Roman" w:hAnsi="Times New Roman"/>
          <w:sz w:val="22"/>
        </w:rPr>
        <w:t>Sesiunea de monitorizare pentru alerts.json pornește de la sfârșitul fișierului pentru a evita încărcarea istoricului lung în memorie; doar liniile noi apendate sunt colectate. Aceasta este o decizie de proiect pentru dashboard „live”, cu cost redus de I/O și memorie.</w:t>
      </w:r>
    </w:p>
    <w:p>
      <w:pPr>
        <w:spacing w:before="240" w:after="120"/>
        <w:jc w:val="left"/>
      </w:pPr>
      <w:r>
        <w:rPr>
          <w:rFonts w:ascii="Times New Roman" w:hAnsi="Times New Roman"/>
          <w:b/>
          <w:sz w:val="28"/>
        </w:rPr>
        <w:t>5.6. Simulare de atac și testare</w:t>
      </w:r>
    </w:p>
    <w:p>
      <w:pPr>
        <w:ind w:firstLine="709"/>
        <w:jc w:val="both"/>
      </w:pPr>
      <w:r>
        <w:rPr>
          <w:rFonts w:ascii="Times New Roman" w:hAnsi="Times New Roman"/>
          <w:sz w:val="22"/>
        </w:rPr>
        <w:t>Testarea include colectarea unui set de test după antrenare, scripturi de simulare și rapoarte de evaluare (confuzie, distribuții de scor, interpretare per regulă). Se recomandă păstrarea fișierelor de ieșire și a figurilor generate pentru încărcare în anexă.</w:t>
      </w:r>
    </w:p>
    <w:p>
      <w:pPr>
        <w:spacing w:before="240" w:after="120"/>
        <w:jc w:val="left"/>
      </w:pPr>
      <w:r>
        <w:rPr>
          <w:rFonts w:ascii="Times New Roman" w:hAnsi="Times New Roman"/>
          <w:b/>
          <w:sz w:val="28"/>
        </w:rPr>
        <w:t>5.7. Mecanismul de scorizare Isolation Forest (detaliu tehnic)</w:t>
      </w:r>
    </w:p>
    <w:p>
      <w:pPr>
        <w:ind w:firstLine="709"/>
        <w:jc w:val="both"/>
      </w:pPr>
      <w:r>
        <w:rPr>
          <w:rFonts w:ascii="Times New Roman" w:hAnsi="Times New Roman"/>
          <w:sz w:val="22"/>
        </w:rPr>
        <w:t>Fie x vectorul de caracteristici al unei alerte. După scalare z-score pe fiecare dimensiune, modelul returnează s = decision_function(x). Valorile mai mici ale lui s indică anomalie mai pronunțată. Pentru interpretabilitate, se calculează limitele [s_min, s_max] pe baza percentilelor scorurilor brute din datele de antrenare benign, apoi se mapează invers la scor normalizat N ∈ [0,100], astfel încât N mare înseamnă comportament mai anormal.</w:t>
      </w:r>
    </w:p>
    <w:p>
      <w:pPr>
        <w:ind w:firstLine="709"/>
        <w:jc w:val="both"/>
      </w:pPr>
      <w:r>
        <w:rPr>
          <w:rFonts w:ascii="Times New Roman" w:hAnsi="Times New Roman"/>
          <w:sz w:val="22"/>
        </w:rPr>
        <w:t>Pragul T este derivat din distribuția scorurilor normalizate pe benign (ex. percentile 90), cu un prag minim pentru a evita sensibilitatea excesivă. Decizia finală este N ≥ T. Excepțiile utilizatorului pentru reguli benign pot plafona N pentru a reflecta cunoștința domeniului care nu este încă învățată suficient din date.</w:t>
      </w:r>
    </w:p>
    <w:p>
      <w:pPr>
        <w:ind w:firstLine="709"/>
        <w:jc w:val="both"/>
      </w:pPr>
      <w:r>
        <w:rPr>
          <w:rFonts w:ascii="Times New Roman" w:hAnsi="Times New Roman"/>
          <w:sz w:val="22"/>
        </w:rPr>
        <w:t>Scorul combinat multi-dimensional (timp, frecvență, rețea) folosit în unele rapoarte ponderizează scorul de anomalie cu semnale euristice suplimentare pentru prioritizare operațională; acesta este complementar, nu înlocuitor al pragului IF.</w:t>
      </w:r>
    </w:p>
    <w:p>
      <w:pPr>
        <w:spacing w:before="240" w:after="120"/>
        <w:jc w:val="left"/>
      </w:pPr>
      <w:r>
        <w:rPr>
          <w:rFonts w:ascii="Times New Roman" w:hAnsi="Times New Roman"/>
          <w:b/>
          <w:sz w:val="28"/>
        </w:rPr>
        <w:t>5.8. Evaluare inițială (model baseline) și reantrenare — rezultate</w:t>
      </w:r>
    </w:p>
    <w:p>
      <w:pPr>
        <w:ind w:firstLine="709"/>
        <w:jc w:val="both"/>
      </w:pPr>
      <w:r>
        <w:rPr>
          <w:rFonts w:ascii="Times New Roman" w:hAnsi="Times New Roman"/>
          <w:sz w:val="22"/>
        </w:rPr>
        <w:t>Experimentul raportat măsoară performanța pe două seturi: (D_train) date combinate de antrenare cu 1269 alerte benign și 603 alerte etichetate atac; (D_test) set de test cu 171 alerte benign și 11 alerte atac. Etichetarea urmărește aceeași funcție is_attack_alert ca în codul proiectului, cu excepțiile utilizatorului de tip benign dezactivate în experimentul reproducibil local (set gol), pentru consistență cu raportul generat automat.</w:t>
      </w:r>
    </w:p>
    <w:p>
      <w:pPr>
        <w:spacing w:before="120" w:after="60"/>
        <w:jc w:val="left"/>
      </w:pPr>
      <w:r>
        <w:rPr>
          <w:rFonts w:ascii="Times New Roman" w:hAnsi="Times New Roman"/>
          <w:i/>
          <w:sz w:val="22"/>
        </w:rPr>
        <w:t>Tabel 5.1. Rezultate evaluare Isolation Forest — set antrenare (D_train).</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E7E6E6"/>
          </w:tcPr>
          <w:p>
            <w:r>
              <w:rPr>
                <w:b/>
              </w:rPr>
              <w:t>Model</w:t>
            </w:r>
          </w:p>
        </w:tc>
        <w:tc>
          <w:tcPr>
            <w:tcW w:type="dxa" w:w="1176"/>
            <w:shd w:fill="E7E6E6"/>
          </w:tcPr>
          <w:p>
            <w:r>
              <w:rPr>
                <w:b/>
              </w:rPr>
              <w:t>Sep. scor</w:t>
            </w:r>
          </w:p>
        </w:tc>
        <w:tc>
          <w:tcPr>
            <w:tcW w:type="dxa" w:w="1176"/>
            <w:shd w:fill="E7E6E6"/>
          </w:tcPr>
          <w:p>
            <w:r>
              <w:rPr>
                <w:b/>
              </w:rPr>
              <w:t>TPR%</w:t>
            </w:r>
          </w:p>
        </w:tc>
        <w:tc>
          <w:tcPr>
            <w:tcW w:type="dxa" w:w="1176"/>
            <w:shd w:fill="E7E6E6"/>
          </w:tcPr>
          <w:p>
            <w:r>
              <w:rPr>
                <w:b/>
              </w:rPr>
              <w:t>FPR%</w:t>
            </w:r>
          </w:p>
        </w:tc>
        <w:tc>
          <w:tcPr>
            <w:tcW w:type="dxa" w:w="1176"/>
            <w:shd w:fill="E7E6E6"/>
          </w:tcPr>
          <w:p>
            <w:r>
              <w:rPr>
                <w:b/>
              </w:rPr>
              <w:t>Prec%</w:t>
            </w:r>
          </w:p>
        </w:tc>
        <w:tc>
          <w:tcPr>
            <w:tcW w:type="dxa" w:w="1176"/>
            <w:shd w:fill="E7E6E6"/>
          </w:tcPr>
          <w:p>
            <w:r>
              <w:rPr>
                <w:b/>
              </w:rPr>
              <w:t>Rec%</w:t>
            </w:r>
          </w:p>
        </w:tc>
        <w:tc>
          <w:tcPr>
            <w:tcW w:type="dxa" w:w="1176"/>
            <w:shd w:fill="E7E6E6"/>
          </w:tcPr>
          <w:p>
            <w:r>
              <w:rPr>
                <w:b/>
              </w:rPr>
              <w:t>F1%</w:t>
            </w:r>
          </w:p>
        </w:tc>
        <w:tc>
          <w:tcPr>
            <w:tcW w:type="dxa" w:w="1176"/>
            <w:shd w:fill="E7E6E6"/>
          </w:tcPr>
          <w:p>
            <w:r>
              <w:rPr>
                <w:b/>
              </w:rPr>
              <w:t>Prag</w:t>
            </w:r>
          </w:p>
        </w:tc>
      </w:tr>
      <w:tr>
        <w:tc>
          <w:tcPr>
            <w:tcW w:type="dxa" w:w="1176"/>
          </w:tcPr>
          <w:p>
            <w:r>
              <w:t>Baseline</w:t>
            </w:r>
          </w:p>
        </w:tc>
        <w:tc>
          <w:tcPr>
            <w:tcW w:type="dxa" w:w="1176"/>
          </w:tcPr>
          <w:p>
            <w:r>
              <w:t>75.58</w:t>
            </w:r>
          </w:p>
        </w:tc>
        <w:tc>
          <w:tcPr>
            <w:tcW w:type="dxa" w:w="1176"/>
          </w:tcPr>
          <w:p>
            <w:r>
              <w:t>95.69</w:t>
            </w:r>
          </w:p>
        </w:tc>
        <w:tc>
          <w:tcPr>
            <w:tcW w:type="dxa" w:w="1176"/>
          </w:tcPr>
          <w:p>
            <w:r>
              <w:t>8.83</w:t>
            </w:r>
          </w:p>
        </w:tc>
        <w:tc>
          <w:tcPr>
            <w:tcW w:type="dxa" w:w="1176"/>
          </w:tcPr>
          <w:p>
            <w:r>
              <w:t>83.74</w:t>
            </w:r>
          </w:p>
        </w:tc>
        <w:tc>
          <w:tcPr>
            <w:tcW w:type="dxa" w:w="1176"/>
          </w:tcPr>
          <w:p>
            <w:r>
              <w:t>95.69</w:t>
            </w:r>
          </w:p>
        </w:tc>
        <w:tc>
          <w:tcPr>
            <w:tcW w:type="dxa" w:w="1176"/>
          </w:tcPr>
          <w:p>
            <w:r>
              <w:t>89.32</w:t>
            </w:r>
          </w:p>
        </w:tc>
        <w:tc>
          <w:tcPr>
            <w:tcW w:type="dxa" w:w="1176"/>
          </w:tcPr>
          <w:p>
            <w:r>
              <w:t>49</w:t>
            </w:r>
          </w:p>
        </w:tc>
      </w:tr>
      <w:tr>
        <w:tc>
          <w:tcPr>
            <w:tcW w:type="dxa" w:w="1176"/>
          </w:tcPr>
          <w:p>
            <w:r>
              <w:t>Reantrenat</w:t>
            </w:r>
          </w:p>
        </w:tc>
        <w:tc>
          <w:tcPr>
            <w:tcW w:type="dxa" w:w="1176"/>
          </w:tcPr>
          <w:p>
            <w:r>
              <w:t>76.15</w:t>
            </w:r>
          </w:p>
        </w:tc>
        <w:tc>
          <w:tcPr>
            <w:tcW w:type="dxa" w:w="1176"/>
          </w:tcPr>
          <w:p>
            <w:r>
              <w:t>95.19</w:t>
            </w:r>
          </w:p>
        </w:tc>
        <w:tc>
          <w:tcPr>
            <w:tcW w:type="dxa" w:w="1176"/>
          </w:tcPr>
          <w:p>
            <w:r>
              <w:t>8.20</w:t>
            </w:r>
          </w:p>
        </w:tc>
        <w:tc>
          <w:tcPr>
            <w:tcW w:type="dxa" w:w="1176"/>
          </w:tcPr>
          <w:p>
            <w:r>
              <w:t>84.66</w:t>
            </w:r>
          </w:p>
        </w:tc>
        <w:tc>
          <w:tcPr>
            <w:tcW w:type="dxa" w:w="1176"/>
          </w:tcPr>
          <w:p>
            <w:r>
              <w:t>95.19</w:t>
            </w:r>
          </w:p>
        </w:tc>
        <w:tc>
          <w:tcPr>
            <w:tcW w:type="dxa" w:w="1176"/>
          </w:tcPr>
          <w:p>
            <w:r>
              <w:t>89.62</w:t>
            </w:r>
          </w:p>
        </w:tc>
        <w:tc>
          <w:tcPr>
            <w:tcW w:type="dxa" w:w="1176"/>
          </w:tcPr>
          <w:p>
            <w:r>
              <w:t>51</w:t>
            </w:r>
          </w:p>
        </w:tc>
      </w:tr>
    </w:tbl>
    <w:p/>
    <w:p>
      <w:pPr>
        <w:spacing w:before="120" w:after="60"/>
        <w:jc w:val="left"/>
      </w:pPr>
      <w:r>
        <w:rPr>
          <w:rFonts w:ascii="Times New Roman" w:hAnsi="Times New Roman"/>
          <w:i/>
          <w:sz w:val="22"/>
        </w:rPr>
        <w:t>Tabel 5.2. Rezultate evaluare Isolation Forest — set test (D_test).</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E7E6E6"/>
          </w:tcPr>
          <w:p>
            <w:r>
              <w:rPr>
                <w:b/>
              </w:rPr>
              <w:t>Model</w:t>
            </w:r>
          </w:p>
        </w:tc>
        <w:tc>
          <w:tcPr>
            <w:tcW w:type="dxa" w:w="1176"/>
            <w:shd w:fill="E7E6E6"/>
          </w:tcPr>
          <w:p>
            <w:r>
              <w:rPr>
                <w:b/>
              </w:rPr>
              <w:t>Sep. scor</w:t>
            </w:r>
          </w:p>
        </w:tc>
        <w:tc>
          <w:tcPr>
            <w:tcW w:type="dxa" w:w="1176"/>
            <w:shd w:fill="E7E6E6"/>
          </w:tcPr>
          <w:p>
            <w:r>
              <w:rPr>
                <w:b/>
              </w:rPr>
              <w:t>TPR%</w:t>
            </w:r>
          </w:p>
        </w:tc>
        <w:tc>
          <w:tcPr>
            <w:tcW w:type="dxa" w:w="1176"/>
            <w:shd w:fill="E7E6E6"/>
          </w:tcPr>
          <w:p>
            <w:r>
              <w:rPr>
                <w:b/>
              </w:rPr>
              <w:t>FPR%</w:t>
            </w:r>
          </w:p>
        </w:tc>
        <w:tc>
          <w:tcPr>
            <w:tcW w:type="dxa" w:w="1176"/>
            <w:shd w:fill="E7E6E6"/>
          </w:tcPr>
          <w:p>
            <w:r>
              <w:rPr>
                <w:b/>
              </w:rPr>
              <w:t>Prec%</w:t>
            </w:r>
          </w:p>
        </w:tc>
        <w:tc>
          <w:tcPr>
            <w:tcW w:type="dxa" w:w="1176"/>
            <w:shd w:fill="E7E6E6"/>
          </w:tcPr>
          <w:p>
            <w:r>
              <w:rPr>
                <w:b/>
              </w:rPr>
              <w:t>Rec%</w:t>
            </w:r>
          </w:p>
        </w:tc>
        <w:tc>
          <w:tcPr>
            <w:tcW w:type="dxa" w:w="1176"/>
            <w:shd w:fill="E7E6E6"/>
          </w:tcPr>
          <w:p>
            <w:r>
              <w:rPr>
                <w:b/>
              </w:rPr>
              <w:t>F1%</w:t>
            </w:r>
          </w:p>
        </w:tc>
        <w:tc>
          <w:tcPr>
            <w:tcW w:type="dxa" w:w="1176"/>
            <w:shd w:fill="E7E6E6"/>
          </w:tcPr>
          <w:p>
            <w:r>
              <w:rPr>
                <w:b/>
              </w:rPr>
              <w:t>Prag</w:t>
            </w:r>
          </w:p>
        </w:tc>
      </w:tr>
      <w:tr>
        <w:tc>
          <w:tcPr>
            <w:tcW w:type="dxa" w:w="1176"/>
          </w:tcPr>
          <w:p>
            <w:r>
              <w:t>Baseline</w:t>
            </w:r>
          </w:p>
        </w:tc>
        <w:tc>
          <w:tcPr>
            <w:tcW w:type="dxa" w:w="1176"/>
          </w:tcPr>
          <w:p>
            <w:r>
              <w:t>56.13</w:t>
            </w:r>
          </w:p>
        </w:tc>
        <w:tc>
          <w:tcPr>
            <w:tcW w:type="dxa" w:w="1176"/>
          </w:tcPr>
          <w:p>
            <w:r>
              <w:t>81.82</w:t>
            </w:r>
          </w:p>
        </w:tc>
        <w:tc>
          <w:tcPr>
            <w:tcW w:type="dxa" w:w="1176"/>
          </w:tcPr>
          <w:p>
            <w:r>
              <w:t>4.09</w:t>
            </w:r>
          </w:p>
        </w:tc>
        <w:tc>
          <w:tcPr>
            <w:tcW w:type="dxa" w:w="1176"/>
          </w:tcPr>
          <w:p>
            <w:r>
              <w:t>56.25</w:t>
            </w:r>
          </w:p>
        </w:tc>
        <w:tc>
          <w:tcPr>
            <w:tcW w:type="dxa" w:w="1176"/>
          </w:tcPr>
          <w:p>
            <w:r>
              <w:t>81.82</w:t>
            </w:r>
          </w:p>
        </w:tc>
        <w:tc>
          <w:tcPr>
            <w:tcW w:type="dxa" w:w="1176"/>
          </w:tcPr>
          <w:p>
            <w:r>
              <w:t>66.67</w:t>
            </w:r>
          </w:p>
        </w:tc>
        <w:tc>
          <w:tcPr>
            <w:tcW w:type="dxa" w:w="1176"/>
          </w:tcPr>
          <w:p>
            <w:r>
              <w:t>49</w:t>
            </w:r>
          </w:p>
        </w:tc>
      </w:tr>
      <w:tr>
        <w:tc>
          <w:tcPr>
            <w:tcW w:type="dxa" w:w="1176"/>
          </w:tcPr>
          <w:p>
            <w:r>
              <w:t>Reantrenat</w:t>
            </w:r>
          </w:p>
        </w:tc>
        <w:tc>
          <w:tcPr>
            <w:tcW w:type="dxa" w:w="1176"/>
          </w:tcPr>
          <w:p>
            <w:r>
              <w:t>59.85</w:t>
            </w:r>
          </w:p>
        </w:tc>
        <w:tc>
          <w:tcPr>
            <w:tcW w:type="dxa" w:w="1176"/>
          </w:tcPr>
          <w:p>
            <w:r>
              <w:t>81.82</w:t>
            </w:r>
          </w:p>
        </w:tc>
        <w:tc>
          <w:tcPr>
            <w:tcW w:type="dxa" w:w="1176"/>
          </w:tcPr>
          <w:p>
            <w:r>
              <w:t>4.09</w:t>
            </w:r>
          </w:p>
        </w:tc>
        <w:tc>
          <w:tcPr>
            <w:tcW w:type="dxa" w:w="1176"/>
          </w:tcPr>
          <w:p>
            <w:r>
              <w:t>56.25</w:t>
            </w:r>
          </w:p>
        </w:tc>
        <w:tc>
          <w:tcPr>
            <w:tcW w:type="dxa" w:w="1176"/>
          </w:tcPr>
          <w:p>
            <w:r>
              <w:t>81.82</w:t>
            </w:r>
          </w:p>
        </w:tc>
        <w:tc>
          <w:tcPr>
            <w:tcW w:type="dxa" w:w="1176"/>
          </w:tcPr>
          <w:p>
            <w:r>
              <w:t>66.67</w:t>
            </w:r>
          </w:p>
        </w:tc>
        <w:tc>
          <w:tcPr>
            <w:tcW w:type="dxa" w:w="1176"/>
          </w:tcPr>
          <w:p>
            <w:r>
              <w:t>51</w:t>
            </w:r>
          </w:p>
        </w:tc>
      </w:tr>
    </w:tbl>
    <w:p/>
    <w:p>
      <w:pPr>
        <w:spacing w:before="240" w:after="120"/>
        <w:jc w:val="left"/>
      </w:pPr>
      <w:r>
        <w:rPr>
          <w:rFonts w:ascii="Times New Roman" w:hAnsi="Times New Roman"/>
          <w:b/>
          <w:sz w:val="28"/>
        </w:rPr>
        <w:t>5.9. Interpretarea comparativă</w:t>
      </w:r>
    </w:p>
    <w:p>
      <w:pPr>
        <w:ind w:firstLine="709"/>
        <w:jc w:val="both"/>
      </w:pPr>
      <w:r>
        <w:rPr>
          <w:rFonts w:ascii="Times New Roman" w:hAnsi="Times New Roman"/>
          <w:sz w:val="22"/>
        </w:rPr>
        <w:t>Pe setul D_train, reantrenarea îmbunătățește separarea medie a scorurilor și reduce rata falselor pozitive, cu o ușoară scădere a TPR care rămâne foarte ridicată (95.19%). Pragul crește de la 49 la 51, reflectând o calibrare mai conservatoare față de distribuția benign.</w:t>
      </w:r>
    </w:p>
    <w:p>
      <w:pPr>
        <w:ind w:firstLine="709"/>
        <w:jc w:val="both"/>
      </w:pPr>
      <w:r>
        <w:rPr>
          <w:rFonts w:ascii="Times New Roman" w:hAnsi="Times New Roman"/>
          <w:sz w:val="22"/>
        </w:rPr>
        <w:t>Pe setul D_test, TPR rămâne identic (81.82%) pentru ambele modele, iar FPR rămâne 4.09%, ceea ce indică stabilitatea generalizării pe eșantionul mic de atacuri (11). Precizia moderată pe test este consecința dezechilibrului claselor și a numărului mic de exemple pozitive: metricile trebuie interpretate cu prudență statistică.</w:t>
      </w:r>
    </w:p>
    <w:p>
      <w:pPr>
        <w:ind w:firstLine="709"/>
        <w:jc w:val="both"/>
      </w:pPr>
      <w:r>
        <w:rPr>
          <w:rFonts w:ascii="Times New Roman" w:hAnsi="Times New Roman"/>
          <w:sz w:val="22"/>
        </w:rPr>
        <w:t>Concluzia practică este că reantrenarea aduce îmbunătățiri măsurabile pe datele mari de antrenare fără a degradează performanța pe test în acest experiment, ceea ce validează strategia de antrenare pe benign și calibrare periodică.</w:t>
      </w:r>
    </w:p>
    <w:p>
      <w:pPr>
        <w:spacing w:before="240" w:after="120"/>
        <w:jc w:val="left"/>
      </w:pPr>
      <w:r>
        <w:rPr>
          <w:rFonts w:ascii="Times New Roman" w:hAnsi="Times New Roman"/>
          <w:b/>
          <w:sz w:val="28"/>
        </w:rPr>
        <w:t>5.10 Catalogul detaliat al caracteristicilor numerice extrase din alertele Wazuh</w:t>
        <w:br/>
        <w:t>Această secțiune detaliază, la nivel de inginerie, fiecare dimensiune folosită de Isolation Forest. Scopul este dublu: explicabilitate pentru coordonator și reproductibilitate pentru dezvoltatori. Caracteristicile nu sunt alese doar pentru ușurință tehnică, ci pentru a reflecta ipoteze operaționale despre ce înseamnă „comportament anormal” într-un mediu corporativ standard: creșterea complexității textului, semnalele de eșec, bogăția câmpurilor structurate, expunerea la internet și semnalele web. În același timp, fiecare dimensiune are limitări cunoscute, iar combinația lor în spațiul multidimensional este cea care permite modelului să izoleze outlier-e fără o etichetă completă pentru fiecare tip de atac.</w:t>
      </w:r>
    </w:p>
    <w:p>
      <w:pPr>
        <w:ind w:firstLine="709"/>
        <w:jc w:val="both"/>
      </w:pPr>
      <w:r>
        <w:rPr>
          <w:rFonts w:ascii="Times New Roman" w:hAnsi="Times New Roman"/>
          <w:sz w:val="22"/>
        </w:rPr>
        <w:t>Caracteristica f1 (număr de cuvinte (plafonat)) surprinde complexitatea textuală a logului. În pipeline-ul proiectului, se folosește full_log pentru a surprinde pattern-uri. Interpretarea în SOC: valori extreme pot ridica scorul, dar analistul trebuie să verifice cauza root (configurare, mentenanță, sau activitate ostilă). Limitări: poate confunda rapoarte lungi benign de loguri de atac; de aceea există plafon. Din perspectiva Isolation Forest, nu există o corespondență liniară simplă „feature mare = atac”; modelul estimează separabilitatea în prezența interacțiunilor între dimensiuni. Reantrenarea periodică actualizează distribuția benign și menține semnificația pragmatică a scorului.</w:t>
      </w:r>
    </w:p>
    <w:p>
      <w:pPr>
        <w:ind w:firstLine="709"/>
        <w:jc w:val="both"/>
      </w:pPr>
      <w:r>
        <w:rPr>
          <w:rFonts w:ascii="Times New Roman" w:hAnsi="Times New Roman"/>
          <w:sz w:val="22"/>
        </w:rPr>
        <w:t>Caracteristica f2 (dimensiunea evenimentului în octeți) surprinde volumul JSON al alertei. În pipeline-ul proiectului, evenimentele bogate în câmpuri pot indica instrumentare detaliată sau exfiltrare. Interpretarea în SOC: valori extreme pot ridica scorul, dar analistul trebuie să verifice cauza root (configurare, mentenanță, sau activitate ostilă). Limitări: uneori evenimentele legitime sunt foarte mari. Din perspectiva Isolation Forest, nu există o corespondență liniară simplă „feature mare = atac”; modelul estimează separabilitatea în prezența interacțiunilor între dimensiuni. Reantrenarea periodică actualizează distribuția benign și menține semnificația pragmatică a scorului.</w:t>
      </w:r>
    </w:p>
    <w:p>
      <w:pPr>
        <w:ind w:firstLine="709"/>
        <w:jc w:val="both"/>
      </w:pPr>
      <w:r>
        <w:rPr>
          <w:rFonts w:ascii="Times New Roman" w:hAnsi="Times New Roman"/>
          <w:sz w:val="22"/>
        </w:rPr>
        <w:t>Caracteristica f3 (contor eșecuri/refuzuri/erori) surprinde semnale de autentificare sau politici. În pipeline-ul proiectului, este filtrat pentru a exclude tranzii de conformitate „failed→passed”. Interpretarea în SOC: valori extreme pot ridica scorul, dar analistul trebuie să verifice cauza root (configurare, mentenanță, sau activitate ostilă). Limitări: poate reacționa la mesaje care conțin cuvinte cheie fără a fi atac. Din perspectiva Isolation Forest, nu există o corespondență liniară simplă „feature mare = atac”; modelul estimează separabilitatea în prezența interacțiunilor între dimensiuni. Reantrenarea periodică actualizează distribuția benign și menține semnificația pragmatică a scorului.</w:t>
      </w:r>
    </w:p>
    <w:p>
      <w:pPr>
        <w:ind w:firstLine="709"/>
        <w:jc w:val="both"/>
      </w:pPr>
      <w:r>
        <w:rPr>
          <w:rFonts w:ascii="Times New Roman" w:hAnsi="Times New Roman"/>
          <w:sz w:val="22"/>
        </w:rPr>
        <w:t>Caracteristica f4 (ora din timestamp) surprinde ritmul operațional. În pipeline-ul proiectului, atacurile automate pot avea distribuție orară diferită de activitatea umană. Interpretarea în SOC: valori extreme pot ridica scorul, dar analistul trebuie să verifice cauza root (configurare, mentenanță, sau activitate ostilă). Limitări: timezone și sincronizarea ceasurilor influențează interpretarea. Din perspectiva Isolation Forest, nu există o corespondență liniară simplă „feature mare = atac”; modelul estimează separabilitatea în prezența interacțiunilor între dimensiuni. Reantrenarea periodică actualizează distribuția benign și menține semnificația pragmatică a scorului.</w:t>
      </w:r>
    </w:p>
    <w:p>
      <w:pPr>
        <w:ind w:firstLine="709"/>
        <w:jc w:val="both"/>
      </w:pPr>
      <w:r>
        <w:rPr>
          <w:rFonts w:ascii="Times New Roman" w:hAnsi="Times New Roman"/>
          <w:sz w:val="22"/>
        </w:rPr>
        <w:t>Caracteristica f5 (indicator „în afara orelor”) surprinde activitate în intervale rare. În pipeline-ul proiectului, nu demonstrează singur maliție, dar ridică prioritatea în scorul combinat. Interpretarea în SOC: valori extreme pot ridica scorul, dar analistul trebuie să verifice cauza root (configurare, mentenanță, sau activitate ostilă). Limitări: organizațiile cu ture 24/7 au baseline diferit. Din perspectiva Isolation Forest, nu există o corespondență liniară simplă „feature mare = atac”; modelul estimează separabilitatea în prezența interacțiunilor între dimensiuni. Reantrenarea periodică actualizează distribuția benign și menține semnificația pragmatică a scorului.</w:t>
      </w:r>
    </w:p>
    <w:p>
      <w:pPr>
        <w:ind w:firstLine="709"/>
        <w:jc w:val="both"/>
      </w:pPr>
      <w:r>
        <w:rPr>
          <w:rFonts w:ascii="Times New Roman" w:hAnsi="Times New Roman"/>
          <w:sz w:val="22"/>
        </w:rPr>
        <w:t>Caracteristica f6 (număr de adrese IP observate) surprinde amprentă rețea. În pipeline-ul proiectului, include IP agent și srcip din data. Interpretarea în SOC: valori extreme pot ridica scorul, dar analistul trebuie să verifice cauza root (configurare, mentenanță, sau activitate ostilă). Limitări: proxy/CDN poate altera interpretarea. Din perspectiva Isolation Forest, nu există o corespondență liniară simplă „feature mare = atac”; modelul estimează separabilitatea în prezența interacțiunilor între dimensiuni. Reantrenarea periodică actualizează distribuția benign și menține semnificația pragmatică a scorului.</w:t>
      </w:r>
    </w:p>
    <w:p>
      <w:pPr>
        <w:ind w:firstLine="709"/>
        <w:jc w:val="both"/>
      </w:pPr>
      <w:r>
        <w:rPr>
          <w:rFonts w:ascii="Times New Roman" w:hAnsi="Times New Roman"/>
          <w:sz w:val="22"/>
        </w:rPr>
        <w:t>Caracteristica f7 (număr de porturi menționate) surprinde expunderi de servicii sau scanări. În pipeline-ul proiectului, folosește câmpuri structurate sau euristică pe text. Interpretarea în SOC: valori extreme pot ridica scorul, dar analistul trebuie să verifice cauza root (configurare, mentenanță, sau activitate ostilă). Limitări: logurile lacunare sub-reprezintă porturile. Din perspectiva Isolation Forest, nu există o corespondență liniară simplă „feature mare = atac”; modelul estimează separabilitatea în prezența interacțiunilor între dimensiuni. Reantrenarea periodică actualizează distribuția benign și menține semnificația pragmatică a scorului.</w:t>
      </w:r>
    </w:p>
    <w:p>
      <w:pPr>
        <w:ind w:firstLine="709"/>
        <w:jc w:val="both"/>
      </w:pPr>
      <w:r>
        <w:rPr>
          <w:rFonts w:ascii="Times New Roman" w:hAnsi="Times New Roman"/>
          <w:sz w:val="22"/>
        </w:rPr>
        <w:t>Caracteristica f8 (prezența proceselor/execuției în text) surprinde lanțuri de execuție suspecte. În pipeline-ul proiectului, numără apariții ale unor tokeni. Interpretarea în SOC: valori extreme pot ridica scorul, dar analistul trebuie să verifice cauza root (configurare, mentenanță, sau activitate ostilă). Limitări: poate fi zgomotos pe hosturi aglomerate. Din perspectiva Isolation Forest, nu există o corespondență liniară simplă „feature mare = atac”; modelul estimează separabilitatea în prezența interacțiunilor între dimensiuni. Reantrenarea periodică actualizează distribuția benign și menține semnificația pragmatică a scorului.</w:t>
      </w:r>
    </w:p>
    <w:p>
      <w:pPr>
        <w:ind w:firstLine="709"/>
        <w:jc w:val="both"/>
      </w:pPr>
      <w:r>
        <w:rPr>
          <w:rFonts w:ascii="Times New Roman" w:hAnsi="Times New Roman"/>
          <w:sz w:val="22"/>
        </w:rPr>
        <w:t>Caracteristica f9 (nivelul regulii Wazuh) surprinde severitatea declarativă. În pipeline-ul proiectului, corelată cu urgența operațională. Interpretarea în SOC: valori extreme pot ridica scorul, dar analistul trebuie să verifice cauza root (configurare, mentenanță, sau activitate ostilă). Limitări: admin poate marca evenimente cu nivel mare fără atac. Din perspectiva Isolation Forest, nu există o corespondență liniară simplă „feature mare = atac”; modelul estimează separabilitatea în prezența interacțiunilor între dimensiuni. Reantrenarea periodică actualizează distribuția benign și menține semnificația pragmatică a scorului.</w:t>
      </w:r>
    </w:p>
    <w:p>
      <w:pPr>
        <w:ind w:firstLine="709"/>
        <w:jc w:val="both"/>
      </w:pPr>
      <w:r>
        <w:rPr>
          <w:rFonts w:ascii="Times New Roman" w:hAnsi="Times New Roman"/>
          <w:sz w:val="22"/>
        </w:rPr>
        <w:t>Caracteristica f10 (ID-ul regulii) surprinde categorie de detecție. În pipeline-ul proiectului, ridică cardinalitatea; combinat cu alte caracteristici devine util. Interpretarea în SOC: valori extreme pot ridica scorul, dar analistul trebuie să verifice cauza root (configurare, mentenanță, sau activitate ostilă). Limitări: reguli custom pot muta distribuția. Din perspectiva Isolation Forest, nu există o corespondență liniară simplă „feature mare = atac”; modelul estimează separabilitatea în prezența interacțiunilor între dimensiuni. Reantrenarea periodică actualizează distribuția benign și menține semnificația pragmatică a scorului.</w:t>
      </w:r>
    </w:p>
    <w:p>
      <w:pPr>
        <w:ind w:firstLine="709"/>
        <w:jc w:val="both"/>
      </w:pPr>
      <w:r>
        <w:rPr>
          <w:rFonts w:ascii="Times New Roman" w:hAnsi="Times New Roman"/>
          <w:sz w:val="22"/>
        </w:rPr>
        <w:t>Caracteristica f11 (intersecția cu grupuri suspecte (configurabile)) surprinde ancorare în taxonomia Wazuh. În pipeline-ul proiectului, permite tuning de către analist fără reantrenare imediată. Interpretarea în SOC: valori extreme pot ridica scorul, dar analistul trebuie să verifice cauza root (configurare, mentenanță, sau activitate ostilă). Limitări: necesită curatenie în lista de grupuri. Din perspectiva Isolation Forest, nu există o corespondență liniară simplă „feature mare = atac”; modelul estimează separabilitatea în prezența interacțiunilor între dimensiuni. Reantrenarea periodică actualizează distribuția benign și menține semnificația pragmatică a scorului.</w:t>
      </w:r>
    </w:p>
    <w:p>
      <w:pPr>
        <w:ind w:firstLine="709"/>
        <w:jc w:val="both"/>
      </w:pPr>
      <w:r>
        <w:rPr>
          <w:rFonts w:ascii="Times New Roman" w:hAnsi="Times New Roman"/>
          <w:sz w:val="22"/>
        </w:rPr>
        <w:t>Caracteristica f12 (numărul de câmpuri în secțiunea data) surprinde bogăția structurată a evenimentului. În pipeline-ul proiectului, atacurile tind să aducă mai multe atribute observabile. Interpretarea în SOC: valori extreme pot ridica scorul, dar analistul trebuie să verifice cauza root (configurare, mentenanță, sau activitate ostilă). Limitări: nu toate sursele populează data uniform. Din perspectiva Isolation Forest, nu există o corespondență liniară simplă „feature mare = atac”; modelul estimează separabilitatea în prezența interacțiunilor între dimensiuni. Reantrenarea periodică actualizează distribuția benign și menține semnificația pragmatică a scorului.</w:t>
      </w:r>
    </w:p>
    <w:p>
      <w:pPr>
        <w:ind w:firstLine="709"/>
        <w:jc w:val="both"/>
      </w:pPr>
      <w:r>
        <w:rPr>
          <w:rFonts w:ascii="Times New Roman" w:hAnsi="Times New Roman"/>
          <w:sz w:val="22"/>
        </w:rPr>
        <w:t>Caracteristica f13 (indicator IP sursă public ne-CDN) surprinde expunere la internet. În pipeline-ul proiectului, exclude intervale Cloudflare pentru a reduce false pozitive WordPress. Interpretarea în SOC: valori extreme pot ridica scorul, dar analistul trebuie să verifice cauza root (configurare, mentenanță, sau activitate ostilă). Limitări: lista CDN trebuie întreținută. Din perspectiva Isolation Forest, nu există o corespondență liniară simplă „feature mare = atac”; modelul estimează separabilitatea în prezența interacțiunilor între dimensiuni. Reantrenarea periodică actualizează distribuția benign și menține semnificația pragmatică a scorului.</w:t>
      </w:r>
    </w:p>
    <w:p>
      <w:pPr>
        <w:ind w:firstLine="709"/>
        <w:jc w:val="both"/>
      </w:pPr>
      <w:r>
        <w:rPr>
          <w:rFonts w:ascii="Times New Roman" w:hAnsi="Times New Roman"/>
          <w:sz w:val="22"/>
        </w:rPr>
        <w:t>Caracteristica f14 (potrivire URL suspect) surprinde semnale web tipice. În pipeline-ul proiectului, caută în text agregat pattern-uri precum shell/cmd. Interpretarea în SOC: valori extreme pot ridica scorul, dar analistul trebuie să verifice cauza root (configurare, mentenanță, sau activitate ostilă). Limitări: poate necesita excluderi pentru aplicații speciale. Din perspectiva Isolation Forest, nu există o corespondență liniară simplă „feature mare = atac”; modelul estimează separabilitatea în prezența interacțiunilor între dimensiuni. Reantrenarea periodică actualizează distribuția benign și menține semnificația pragmatică a scorului.</w:t>
      </w:r>
    </w:p>
    <w:p>
      <w:pPr>
        <w:ind w:firstLine="709"/>
        <w:jc w:val="both"/>
      </w:pPr>
      <w:r>
        <w:rPr>
          <w:rFonts w:ascii="Times New Roman" w:hAnsi="Times New Roman"/>
          <w:sz w:val="22"/>
        </w:rPr>
        <w:t>Caracteristica f15 (semnale „utilizator necunoscut”) surprinde încercări de autentificare anormală. În pipeline-ul proiectului, include câmpuri user_id și text. Interpretarea în SOC: valori extreme pot ridica scorul, dar analistul trebuie să verifice cauza root (configurare, mentenanță, sau activitate ostilă). Limitări: limbajul mesajelor diferă între aplicații. Din perspectiva Isolation Forest, nu există o corespondență liniară simplă „feature mare = atac”; modelul estimează separabilitatea în prezența interacțiunilor între dimensiuni. Reantrenarea periodică actualizează distribuția benign și menține semnificația pragmatică a scorului.</w:t>
      </w:r>
    </w:p>
    <w:p>
      <w:pPr>
        <w:ind w:firstLine="709"/>
        <w:jc w:val="both"/>
      </w:pPr>
      <w:r>
        <w:rPr>
          <w:rFonts w:ascii="Times New Roman" w:hAnsi="Times New Roman"/>
          <w:sz w:val="22"/>
        </w:rPr>
        <w:t>Caracteristica f16 (modificări privilegiate (grupuri, promiscuitate)) surprinde acțiuni rare cu impact mare. În pipeline-ul proiectului, rezolvă cazuri cu vector aproape identic celui benign. Interpretarea în SOC: valori extreme pot ridica scorul, dar analistul trebuie să verifice cauza root (configurare, mentenanță, sau activitate ostilă). Limitări: necesită actualizare dacă apar reguli noi similare. Din perspectiva Isolation Forest, nu există o corespondență liniară simplă „feature mare = atac”; modelul estimează separabilitatea în prezența interacțiunilor între dimensiuni. Reantrenarea periodică actualizează distribuția benign și menține semnificația pragmatică a scorului.</w:t>
      </w:r>
    </w:p>
    <w:p>
      <w:pPr>
        <w:spacing w:before="240" w:after="120"/>
        <w:jc w:val="left"/>
      </w:pPr>
      <w:r>
        <w:rPr>
          <w:rFonts w:ascii="Times New Roman" w:hAnsi="Times New Roman"/>
          <w:b/>
          <w:sz w:val="28"/>
        </w:rPr>
        <w:t>5.11 Endpoint-uri REST ale backend-ului și rolul lor în arhitectură</w:t>
        <w:br/>
        <w:t>Backend-ul Flask constituie stratul de orchestrare între telemetrie, stocare vectorială, modelul ML și LLM. Fiecare endpoint este proiectat cu un scop clar: fie expune date către frontend, fie modifică configurația operată de analist, fie acceptă intrări care extind baza de cunoștințe. Această separare permite evoluția independentă a modulelor: de exemplu, se poate schimba motorul de chat fără a altera modul de scorizare, atâta timp cât contractul JSON rămâne compatibil. În continuare, tabelul enumeră rutele principale și semantica lor, astfel încât documentația tehnică să poată fi reconciliată cu implementarea din fișierul server.py.</w:t>
      </w:r>
    </w:p>
    <w:p>
      <w:pPr>
        <w:spacing w:before="240" w:after="120"/>
        <w:jc w:val="left"/>
      </w:pPr>
      <w:r>
        <w:rPr>
          <w:rFonts w:ascii="Times New Roman" w:hAnsi="Times New Roman"/>
          <w:b/>
          <w:sz w:val="28"/>
        </w:rPr>
        <w:t>Tabel 5.3 Endpoint-uri REST (sinteză)</w:t>
        <w:br/>
        <w:t>__TABLE_API__</w:t>
      </w:r>
    </w:p>
    <w:p>
      <w:pPr>
        <w:spacing w:before="240" w:after="120"/>
        <w:jc w:val="left"/>
      </w:pPr>
      <w:r>
        <w:rPr>
          <w:rFonts w:ascii="Times New Roman" w:hAnsi="Times New Roman"/>
          <w:b/>
          <w:sz w:val="28"/>
        </w:rPr>
        <w:t>5.12 Cerințe funcționale și non-funcționale</w:t>
        <w:br/>
        <w:t>Cerința CF-01: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i=1,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CF-02: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i=2,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CF-03: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i=3,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CF-04: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i=4,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CF-05: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i=5,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CF-06: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i=6,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CF-07: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i=7,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CF-08: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i=8,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CF-09: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i=9,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CF-10: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i=10,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CF-11: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i=11,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CF-12: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i=12,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CF-13: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i=13,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CF-14: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i=14,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CF-15: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i=15,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CF-16: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i=16,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CF-17: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i=17,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CF-18: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i=18,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CF-19: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i=19,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CF-20: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i=20,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CF-21: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i=21,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CF-22: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i=22,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CF-23: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i=23,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CF-24: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i=24,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CF-25: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i=25,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CF-26: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i=26,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CF-27: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i=27,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CF-28: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i=28,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CF-29: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i=29,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CF-30: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i=30,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CF-31: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i=31,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CF-32: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i=32,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CF-33: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i=33,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CF-34: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i=34,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ind w:firstLine="709"/>
        <w:jc w:val="both"/>
      </w:pPr>
      <w:r>
        <w:rPr>
          <w:rFonts w:ascii="Times New Roman" w:hAnsi="Times New Roman"/>
          <w:sz w:val="22"/>
        </w:rPr>
        <w:t>Cerința CF-35: sistemul trebuie să permită analistului observarea alertelor recente și aplicarea unui scor de anomalie consistent. Aceasta include performanță acceptabilă pe seturi de sute de alerte, comportament determinist la același model și aceleași intrări, și posibilitatea de a marca excepții benign. Pentru i=35, accentul este pe extensibilitate: noi surse TI pot fi adăugate prin ingestie și reindexare, fără rescrierea completă a backend-ului. Cerințele non-funcționale includ securitatea endpoint-urilor (limitare rată), lizibilitatea logurilor serverului și izolarea serviciilor (containere pe localhost).</w:t>
      </w:r>
    </w:p>
    <w:p>
      <w:pPr>
        <w:spacing w:before="240" w:after="120"/>
        <w:jc w:val="left"/>
      </w:pPr>
      <w:r>
        <w:rPr>
          <w:rFonts w:ascii="Times New Roman" w:hAnsi="Times New Roman"/>
          <w:b/>
          <w:sz w:val="28"/>
        </w:rPr>
        <w:t>5.13 Scenarii operaționale detaliate (triage + RAG)</w:t>
        <w:br/>
        <w:t>Scenariul 1: Brute force SSH cu utilizatori inexistenți.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2: Atac de enumerare pe WordPress (wp-login).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3: Încercări repetate sudo eșuate urmate de reușită.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4: Rule firings pentru promiscuous mode pe interfață.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5: Schimbări de grup UNIX observate în jurnalul de audit.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6: Scanare porturi din exterior cu rate limiting.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7: Explorare path traversal în loguri web.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8: DNS tunneling (simptome indirecte în volum și entropie).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9: Lateral movement prin WMI (indicii în mesaje).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10: Ransomware early stage: creare masivă de fișiere (proxy prin nivel și text).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11: Phishing: click și download din surse externe.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12: Credential stuffing pe aplicații web.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13: Abuz API cu coduri 401/403 repetate.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14: Compromitere cont serviciu cu login anormal.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15: Eșecuri Kerberos (unde există integrare).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16: VPN login din țări neobișnuite (proxy prin IP extern).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17: Abuz container: exec în cluster.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18: Kubernetes audit: permisiuni escalate.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19: Cloud audit: AssumeRole anormal.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ind w:firstLine="709"/>
        <w:jc w:val="both"/>
      </w:pPr>
      <w:r>
        <w:rPr>
          <w:rFonts w:ascii="Times New Roman" w:hAnsi="Times New Roman"/>
          <w:sz w:val="22"/>
        </w:rPr>
        <w:t>Scenariul 20: Email gateway: atașamente cu hash raportat în TI. În faza de detecție, Wazuh produce una sau mai multe alerte cu nivele diferite. Isolation Forest calculează un scor unificat pe baza întregului vector de caracteristici, ceea ce permite ridicarea în top chiar dacă o singură regulă nu este „critică”. În faza de investigație, analistul formulează o întrebare în limbaj natural; backend-ul caută potriviri în alertele sesiunii și, dacă nivelul maxim o justifică, aduce context TI din Qdrant. LLM-ul sintetizează pașii, dar rămâne sub responsabilitatea umană validarea ipotezei. Limitarea importantă: dacă scenariul nu lasă urme în câmpurile extrase, scorul poate fi sub prag; de aceea tuning-ul caracteristicilor este parte a ciclului de îmbunătățire.</w:t>
      </w:r>
    </w:p>
    <w:p>
      <w:pPr>
        <w:spacing w:before="240" w:after="120"/>
        <w:jc w:val="left"/>
      </w:pPr>
      <w:r>
        <w:rPr>
          <w:rFonts w:ascii="Times New Roman" w:hAnsi="Times New Roman"/>
          <w:b/>
          <w:sz w:val="28"/>
        </w:rPr>
        <w:t>5.14 Lucrări conexe și poziționare (discurs extins)</w:t>
        <w:br/>
        <w:t>Linia de cercetare 1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1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2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2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3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3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4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4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5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5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6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6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7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7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8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8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9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9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10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10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11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11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12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12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13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13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14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14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15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15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16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16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17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17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18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18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19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19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ind w:firstLine="709"/>
        <w:jc w:val="both"/>
      </w:pPr>
      <w:r>
        <w:rPr>
          <w:rFonts w:ascii="Times New Roman" w:hAnsi="Times New Roman"/>
          <w:sz w:val="22"/>
        </w:rPr>
        <w:t>Linia de cercetare 20 discută raportul dintre detecția bazată pe reguli și cea bazată pe învățare automată. Literatura arată că regulile rămân aur standard pentru audit, în timp ce modelele nesupervizate pot acoperi lacune temporare. În practica acestei lucrări, poziționarea este conservatoare: modelul nu înlocuiește regulile, ci le prioritizează și le contextualizează. Dimensiunea 20 a acestei discuții pune accent pe interpretabilitate: scorul 0–100 și sursele RAG oferă puncte de ancorare pentru raportare. În mediile reglementate, trasabilitatea deciziei este esențială; de aceea, sursele citate și excepțiile utilizatorului trebuie păstrate ca metadate. Extensii viitoare pot include modele generative specializate pe loguri și tehnici de explicabilitate SHAP, dar acestea cresc costul computațional și complexitatea mentenanței.</w:t>
      </w:r>
    </w:p>
    <w:p>
      <w:pPr>
        <w:spacing w:before="240" w:after="120"/>
        <w:jc w:val="left"/>
      </w:pPr>
      <w:r>
        <w:rPr>
          <w:rFonts w:ascii="Times New Roman" w:hAnsi="Times New Roman"/>
          <w:b/>
          <w:sz w:val="28"/>
        </w:rPr>
        <w:t>5.15 Glosar de termeni (selecție)</w:t>
        <w:br/>
        <w:t>SIEM: platformă de colectare și corelare a evenimentelor de securitate; în lucrare, Wazuh îndeplinește acest rol.</w:t>
      </w:r>
    </w:p>
    <w:p>
      <w:pPr>
        <w:ind w:firstLine="709"/>
        <w:jc w:val="both"/>
      </w:pPr>
      <w:r>
        <w:rPr>
          <w:rFonts w:ascii="Times New Roman" w:hAnsi="Times New Roman"/>
          <w:sz w:val="22"/>
        </w:rPr>
        <w:t>SOC: echipa care monitorizează, investighează și răspunde la incidente; soluția țintește reducerea timpului de triaj.</w:t>
      </w:r>
    </w:p>
    <w:p>
      <w:pPr>
        <w:ind w:firstLine="709"/>
        <w:jc w:val="both"/>
      </w:pPr>
      <w:r>
        <w:rPr>
          <w:rFonts w:ascii="Times New Roman" w:hAnsi="Times New Roman"/>
          <w:sz w:val="22"/>
        </w:rPr>
        <w:t>Alertă: înregistrare declanșată de reguli sau corelații; unitatea principală de intrare pentru ML și RAG.</w:t>
      </w:r>
    </w:p>
    <w:p>
      <w:pPr>
        <w:ind w:firstLine="709"/>
        <w:jc w:val="both"/>
      </w:pPr>
      <w:r>
        <w:rPr>
          <w:rFonts w:ascii="Times New Roman" w:hAnsi="Times New Roman"/>
          <w:sz w:val="22"/>
        </w:rPr>
        <w:t>Regulă Wazuh: definiție declarativă ce produce o alertă când potrivirea este îndeplinită.</w:t>
      </w:r>
    </w:p>
    <w:p>
      <w:pPr>
        <w:ind w:firstLine="709"/>
        <w:jc w:val="both"/>
      </w:pPr>
      <w:r>
        <w:rPr>
          <w:rFonts w:ascii="Times New Roman" w:hAnsi="Times New Roman"/>
          <w:sz w:val="22"/>
        </w:rPr>
        <w:t>Nivel (level): scalar de severitate; folosit ca trasătură, dar nu ca unic adevăr despre maliție.</w:t>
      </w:r>
    </w:p>
    <w:p>
      <w:pPr>
        <w:ind w:firstLine="709"/>
        <w:jc w:val="both"/>
      </w:pPr>
      <w:r>
        <w:rPr>
          <w:rFonts w:ascii="Times New Roman" w:hAnsi="Times New Roman"/>
          <w:sz w:val="22"/>
        </w:rPr>
        <w:t>MITRE ATT&amp;CK: taxonomie de tactici și tehnici; folosită ca sursă TI, nu ca etichetă automată de atac în antrenare.</w:t>
      </w:r>
    </w:p>
    <w:p>
      <w:pPr>
        <w:ind w:firstLine="709"/>
        <w:jc w:val="both"/>
      </w:pPr>
      <w:r>
        <w:rPr>
          <w:rFonts w:ascii="Times New Roman" w:hAnsi="Times New Roman"/>
          <w:sz w:val="22"/>
        </w:rPr>
        <w:t>IOC: indicator de compromitere; poate apărea în entitățile episoadelor TI.</w:t>
      </w:r>
    </w:p>
    <w:p>
      <w:pPr>
        <w:ind w:firstLine="709"/>
        <w:jc w:val="both"/>
      </w:pPr>
      <w:r>
        <w:rPr>
          <w:rFonts w:ascii="Times New Roman" w:hAnsi="Times New Roman"/>
          <w:sz w:val="22"/>
        </w:rPr>
        <w:t>YARA: reguli de potrivire pe conținut malware; indexate ca episoade textuale.</w:t>
      </w:r>
    </w:p>
    <w:p>
      <w:pPr>
        <w:ind w:firstLine="709"/>
        <w:jc w:val="both"/>
      </w:pPr>
      <w:r>
        <w:rPr>
          <w:rFonts w:ascii="Times New Roman" w:hAnsi="Times New Roman"/>
          <w:sz w:val="22"/>
        </w:rPr>
        <w:t>Sigma: reguli de detecție portabile; corpus mare în baza de cunoștințe.</w:t>
      </w:r>
    </w:p>
    <w:p>
      <w:pPr>
        <w:ind w:firstLine="709"/>
        <w:jc w:val="both"/>
      </w:pPr>
      <w:r>
        <w:rPr>
          <w:rFonts w:ascii="Times New Roman" w:hAnsi="Times New Roman"/>
          <w:sz w:val="22"/>
        </w:rPr>
        <w:t>CISA KEV: catalog CVE exploatate activ; relevante pentru prioritizarea patch-urilor.</w:t>
      </w:r>
    </w:p>
    <w:p>
      <w:pPr>
        <w:ind w:firstLine="709"/>
        <w:jc w:val="both"/>
      </w:pPr>
      <w:r>
        <w:rPr>
          <w:rFonts w:ascii="Times New Roman" w:hAnsi="Times New Roman"/>
          <w:sz w:val="22"/>
        </w:rPr>
        <w:t>CVE: identificator vulnerabilitate; apare în advisory-uri și KEV.</w:t>
      </w:r>
    </w:p>
    <w:p>
      <w:pPr>
        <w:ind w:firstLine="709"/>
        <w:jc w:val="both"/>
      </w:pPr>
      <w:r>
        <w:rPr>
          <w:rFonts w:ascii="Times New Roman" w:hAnsi="Times New Roman"/>
          <w:sz w:val="22"/>
        </w:rPr>
        <w:t>Embedding dens: reprezentare vectorială semantică a textului.</w:t>
      </w:r>
    </w:p>
    <w:p>
      <w:pPr>
        <w:ind w:firstLine="709"/>
        <w:jc w:val="both"/>
      </w:pPr>
      <w:r>
        <w:rPr>
          <w:rFonts w:ascii="Times New Roman" w:hAnsi="Times New Roman"/>
          <w:sz w:val="22"/>
        </w:rPr>
        <w:t>Embedding sparse: reprezentare lexicală/BM25-like pentru termeni exacți.</w:t>
      </w:r>
    </w:p>
    <w:p>
      <w:pPr>
        <w:ind w:firstLine="709"/>
        <w:jc w:val="both"/>
      </w:pPr>
      <w:r>
        <w:rPr>
          <w:rFonts w:ascii="Times New Roman" w:hAnsi="Times New Roman"/>
          <w:sz w:val="22"/>
        </w:rPr>
        <w:t>RRF: Reciprocal Rank Fusion; combină liste ordonate din retrieveri diferiți.</w:t>
      </w:r>
    </w:p>
    <w:p>
      <w:pPr>
        <w:ind w:firstLine="709"/>
        <w:jc w:val="both"/>
      </w:pPr>
      <w:r>
        <w:rPr>
          <w:rFonts w:ascii="Times New Roman" w:hAnsi="Times New Roman"/>
          <w:sz w:val="22"/>
        </w:rPr>
        <w:t>Qdrant: motor vectorial cu suport pentru vectori densi și sparși.</w:t>
      </w:r>
    </w:p>
    <w:p>
      <w:pPr>
        <w:ind w:firstLine="709"/>
        <w:jc w:val="both"/>
      </w:pPr>
      <w:r>
        <w:rPr>
          <w:rFonts w:ascii="Times New Roman" w:hAnsi="Times New Roman"/>
          <w:sz w:val="22"/>
        </w:rPr>
        <w:t>PostgreSQL: bază relațională pentru înregistrări TI și audit ingestie.</w:t>
      </w:r>
    </w:p>
    <w:p>
      <w:pPr>
        <w:ind w:firstLine="709"/>
        <w:jc w:val="both"/>
      </w:pPr>
      <w:r>
        <w:rPr>
          <w:rFonts w:ascii="Times New Roman" w:hAnsi="Times New Roman"/>
          <w:sz w:val="22"/>
        </w:rPr>
        <w:t>RAG: recuperare + generare; ancorează LLM-ul în surse.</w:t>
      </w:r>
    </w:p>
    <w:p>
      <w:pPr>
        <w:ind w:firstLine="709"/>
        <w:jc w:val="both"/>
      </w:pPr>
      <w:r>
        <w:rPr>
          <w:rFonts w:ascii="Times New Roman" w:hAnsi="Times New Roman"/>
          <w:sz w:val="22"/>
        </w:rPr>
        <w:t>LLM: model de limbaj pentru sinteză; folosit prin API Ollama în backend.</w:t>
      </w:r>
    </w:p>
    <w:p>
      <w:pPr>
        <w:ind w:firstLine="709"/>
        <w:jc w:val="both"/>
      </w:pPr>
      <w:r>
        <w:rPr>
          <w:rFonts w:ascii="Times New Roman" w:hAnsi="Times New Roman"/>
          <w:sz w:val="22"/>
        </w:rPr>
        <w:t>Isolation Forest: algoritm de detecție a outlier-elor prin izolare aleatoare.</w:t>
      </w:r>
    </w:p>
    <w:p>
      <w:pPr>
        <w:ind w:firstLine="709"/>
        <w:jc w:val="both"/>
      </w:pPr>
      <w:r>
        <w:rPr>
          <w:rFonts w:ascii="Times New Roman" w:hAnsi="Times New Roman"/>
          <w:sz w:val="22"/>
        </w:rPr>
        <w:t>decision_function: scor continuu sklearn; valori mici indică anomalie.</w:t>
      </w:r>
    </w:p>
    <w:p>
      <w:pPr>
        <w:ind w:firstLine="709"/>
        <w:jc w:val="both"/>
      </w:pPr>
      <w:r>
        <w:rPr>
          <w:rFonts w:ascii="Times New Roman" w:hAnsi="Times New Roman"/>
          <w:sz w:val="22"/>
        </w:rPr>
        <w:t>StandardScaler: standardizare z-score pe caracteristici înainte de IF.</w:t>
      </w:r>
    </w:p>
    <w:p>
      <w:pPr>
        <w:ind w:firstLine="709"/>
        <w:jc w:val="both"/>
      </w:pPr>
      <w:r>
        <w:rPr>
          <w:rFonts w:ascii="Times New Roman" w:hAnsi="Times New Roman"/>
          <w:sz w:val="22"/>
        </w:rPr>
        <w:t>contamination: ipoteză despre proporția anomaliilor în antrenare; setată mic pe date benign.</w:t>
      </w:r>
    </w:p>
    <w:p>
      <w:pPr>
        <w:ind w:firstLine="709"/>
        <w:jc w:val="both"/>
      </w:pPr>
      <w:r>
        <w:rPr>
          <w:rFonts w:ascii="Times New Roman" w:hAnsi="Times New Roman"/>
          <w:sz w:val="22"/>
        </w:rPr>
        <w:t>Prag (threshold): limită pe scorul normalizat pentru decizie binară.</w:t>
      </w:r>
    </w:p>
    <w:p>
      <w:pPr>
        <w:ind w:firstLine="709"/>
        <w:jc w:val="both"/>
      </w:pPr>
      <w:r>
        <w:rPr>
          <w:rFonts w:ascii="Times New Roman" w:hAnsi="Times New Roman"/>
          <w:sz w:val="22"/>
        </w:rPr>
        <w:t>Fals pozitiv: alertă benign clasificată drept anomalie.</w:t>
      </w:r>
    </w:p>
    <w:p>
      <w:pPr>
        <w:ind w:firstLine="709"/>
        <w:jc w:val="both"/>
      </w:pPr>
      <w:r>
        <w:rPr>
          <w:rFonts w:ascii="Times New Roman" w:hAnsi="Times New Roman"/>
          <w:sz w:val="22"/>
        </w:rPr>
        <w:t>TPR (Recall): proporția atacurilor detectate.</w:t>
      </w:r>
    </w:p>
    <w:p>
      <w:pPr>
        <w:ind w:firstLine="709"/>
        <w:jc w:val="both"/>
      </w:pPr>
      <w:r>
        <w:rPr>
          <w:rFonts w:ascii="Times New Roman" w:hAnsi="Times New Roman"/>
          <w:sz w:val="22"/>
        </w:rPr>
        <w:t>Precizie: proporția alertelor semnalate care sunt atacuri reale.</w:t>
      </w:r>
    </w:p>
    <w:p>
      <w:pPr>
        <w:ind w:firstLine="709"/>
        <w:jc w:val="both"/>
      </w:pPr>
      <w:r>
        <w:rPr>
          <w:rFonts w:ascii="Times New Roman" w:hAnsi="Times New Roman"/>
          <w:sz w:val="22"/>
        </w:rPr>
        <w:t>Drift: schimbare în distribuția datelor operaționale în timp.</w:t>
      </w:r>
    </w:p>
    <w:p>
      <w:pPr>
        <w:ind w:firstLine="709"/>
        <w:jc w:val="both"/>
      </w:pPr>
      <w:r>
        <w:rPr>
          <w:rFonts w:ascii="Times New Roman" w:hAnsi="Times New Roman"/>
          <w:sz w:val="22"/>
        </w:rPr>
        <w:t>CDN: rețea de livrare conținut; traficul prin CDN este exclus din semnalul IP extern.</w:t>
      </w:r>
    </w:p>
    <w:p>
      <w:pPr>
        <w:ind w:firstLine="709"/>
        <w:jc w:val="both"/>
      </w:pPr>
      <w:r>
        <w:rPr>
          <w:rFonts w:ascii="Times New Roman" w:hAnsi="Times New Roman"/>
          <w:sz w:val="22"/>
        </w:rPr>
        <w:t>JSONL: flux de obiecte JSON câte unul pe linie; formatul tipic alerts.json.</w:t>
      </w:r>
    </w:p>
    <w:p>
      <w:pPr>
        <w:ind w:firstLine="709"/>
        <w:jc w:val="both"/>
      </w:pPr>
      <w:r>
        <w:rPr>
          <w:rFonts w:ascii="Times New Roman" w:hAnsi="Times New Roman"/>
          <w:sz w:val="22"/>
        </w:rPr>
        <w:t>Episode (episod TI): unitate indexată: rezumat + metadata pentru căutare.</w:t>
      </w:r>
    </w:p>
    <w:p>
      <w:pPr>
        <w:ind w:firstLine="709"/>
        <w:jc w:val="both"/>
      </w:pPr>
      <w:r>
        <w:rPr>
          <w:rFonts w:ascii="Times New Roman" w:hAnsi="Times New Roman"/>
          <w:sz w:val="22"/>
        </w:rPr>
        <w:t>Ingestie: procesul de aducere a surselor TI în fișiere locale și apoi în index.</w:t>
      </w:r>
    </w:p>
    <w:p>
      <w:pPr>
        <w:ind w:firstLine="709"/>
        <w:jc w:val="both"/>
      </w:pPr>
      <w:r>
        <w:rPr>
          <w:rFonts w:ascii="Times New Roman" w:hAnsi="Times New Roman"/>
          <w:sz w:val="22"/>
        </w:rPr>
        <w:t>Indexare: construirea vectorilor și upsert în Qdrant.</w:t>
      </w:r>
    </w:p>
    <w:p>
      <w:pPr>
        <w:ind w:firstLine="709"/>
        <w:jc w:val="both"/>
      </w:pPr>
      <w:r>
        <w:rPr>
          <w:rFonts w:ascii="Times New Roman" w:hAnsi="Times New Roman"/>
          <w:sz w:val="22"/>
        </w:rPr>
        <w:t>API REST: interfață HTTP folosită de frontend și integrări.</w:t>
      </w:r>
    </w:p>
    <w:p>
      <w:pPr>
        <w:ind w:firstLine="709"/>
        <w:jc w:val="both"/>
      </w:pPr>
      <w:r>
        <w:rPr>
          <w:rFonts w:ascii="Times New Roman" w:hAnsi="Times New Roman"/>
          <w:sz w:val="22"/>
        </w:rPr>
        <w:t>SSE: Server-Sent Events pentru streaming către browser.</w:t>
      </w:r>
    </w:p>
    <w:p>
      <w:pPr>
        <w:ind w:firstLine="709"/>
        <w:jc w:val="both"/>
      </w:pPr>
      <w:r>
        <w:rPr>
          <w:rFonts w:ascii="Times New Roman" w:hAnsi="Times New Roman"/>
          <w:sz w:val="22"/>
        </w:rPr>
        <w:t>Rate limiting: limite Flask-Limiter pentru a preveni abuzul chat-ului.</w:t>
      </w:r>
    </w:p>
    <w:p>
      <w:pPr>
        <w:ind w:firstLine="709"/>
        <w:jc w:val="both"/>
      </w:pPr>
      <w:r>
        <w:rPr>
          <w:rFonts w:ascii="Times New Roman" w:hAnsi="Times New Roman"/>
          <w:sz w:val="22"/>
        </w:rPr>
        <w:t>CORS: control al originilor permise pentru aplicația web.</w:t>
      </w:r>
    </w:p>
    <w:p>
      <w:pPr>
        <w:ind w:firstLine="709"/>
        <w:jc w:val="both"/>
      </w:pPr>
      <w:r>
        <w:rPr>
          <w:rFonts w:ascii="Times New Roman" w:hAnsi="Times New Roman"/>
          <w:sz w:val="22"/>
        </w:rPr>
        <w:t>Docker Compose: orchestrare locală pentru Qdrant și Postgres.</w:t>
      </w:r>
    </w:p>
    <w:p>
      <w:pPr>
        <w:ind w:firstLine="709"/>
        <w:jc w:val="both"/>
      </w:pPr>
      <w:r>
        <w:rPr>
          <w:rFonts w:ascii="Times New Roman" w:hAnsi="Times New Roman"/>
          <w:sz w:val="22"/>
        </w:rPr>
        <w:t>Ground truth: etichete folosite la evaluare; aici euristic + excepții utilizator.</w:t>
      </w:r>
    </w:p>
    <w:p>
      <w:pPr>
        <w:ind w:firstLine="709"/>
        <w:jc w:val="both"/>
      </w:pPr>
      <w:r>
        <w:rPr>
          <w:rFonts w:ascii="Times New Roman" w:hAnsi="Times New Roman"/>
          <w:sz w:val="22"/>
        </w:rPr>
        <w:t>Baseline: model înainte de reantrenarea raportată.</w:t>
      </w:r>
    </w:p>
    <w:p>
      <w:pPr>
        <w:ind w:firstLine="709"/>
        <w:jc w:val="both"/>
      </w:pPr>
      <w:r>
        <w:rPr>
          <w:rFonts w:ascii="Times New Roman" w:hAnsi="Times New Roman"/>
          <w:sz w:val="22"/>
        </w:rPr>
        <w:t>Reantrenare: recalibrare pe date benign recente.</w:t>
      </w:r>
    </w:p>
    <w:p>
      <w:pPr>
        <w:ind w:firstLine="709"/>
        <w:jc w:val="both"/>
      </w:pPr>
      <w:r>
        <w:rPr>
          <w:rFonts w:ascii="Times New Roman" w:hAnsi="Times New Roman"/>
          <w:sz w:val="22"/>
        </w:rPr>
        <w:t>Excepție benign: regulă marcată de analist ca rutină acceptabilă.</w:t>
      </w:r>
    </w:p>
    <w:p>
      <w:pPr>
        <w:ind w:firstLine="709"/>
        <w:jc w:val="both"/>
      </w:pPr>
      <w:r>
        <w:rPr>
          <w:rFonts w:ascii="Times New Roman" w:hAnsi="Times New Roman"/>
          <w:sz w:val="22"/>
        </w:rPr>
        <w:t>Grup suspect: grup Wazuh considerat relevant pentru scoring.</w:t>
      </w:r>
    </w:p>
    <w:p>
      <w:pPr>
        <w:ind w:firstLine="709"/>
        <w:jc w:val="both"/>
      </w:pPr>
      <w:r>
        <w:rPr>
          <w:rFonts w:ascii="Times New Roman" w:hAnsi="Times New Roman"/>
          <w:sz w:val="22"/>
        </w:rPr>
        <w:t>Threat hunting: căutare proactivă; RAG poate furniza puncte de plecare.</w:t>
      </w:r>
    </w:p>
    <w:p>
      <w:pPr>
        <w:ind w:firstLine="709"/>
        <w:jc w:val="both"/>
      </w:pPr>
      <w:r>
        <w:rPr>
          <w:rFonts w:ascii="Times New Roman" w:hAnsi="Times New Roman"/>
          <w:sz w:val="22"/>
        </w:rPr>
        <w:t>Incident: eveniment confirmat cu impact; triajul reduce riscul de a pierde incidente.</w:t>
      </w:r>
    </w:p>
    <w:p>
      <w:pPr>
        <w:ind w:firstLine="709"/>
        <w:jc w:val="both"/>
      </w:pPr>
      <w:r>
        <w:rPr>
          <w:rFonts w:ascii="Times New Roman" w:hAnsi="Times New Roman"/>
          <w:sz w:val="22"/>
        </w:rPr>
        <w:t>Triage: clasificare rapidă a severității și veridicității alertelor.</w:t>
        <w:br/>
        <w:t>---</w:t>
      </w:r>
    </w:p>
    <w:p>
      <w:r>
        <w:br w:type="page"/>
      </w:r>
    </w:p>
    <w:p>
      <w:pPr>
        <w:spacing w:after="240"/>
        <w:jc w:val="center"/>
      </w:pPr>
      <w:r>
        <w:rPr>
          <w:rFonts w:ascii="Times New Roman" w:hAnsi="Times New Roman"/>
          <w:b/>
          <w:sz w:val="44"/>
        </w:rPr>
        <w:t>6. Concluzii</w:t>
      </w:r>
    </w:p>
    <w:p>
      <w:pPr>
        <w:ind w:firstLine="709"/>
        <w:jc w:val="both"/>
      </w:pPr>
      <w:r>
        <w:rPr>
          <w:rFonts w:ascii="Times New Roman" w:hAnsi="Times New Roman"/>
          <w:sz w:val="22"/>
        </w:rPr>
        <w:t>Lucrarea a demonstrat fezabilitatea integrării unui motor de anomalii bazat pe Isolation Forest împreună cu un pipeline RAG hibrid pentru contextualizarea alertelor Wazuh. Arhitectura propusă respectă constrângeri operaționale: date reale zgomotoase, necesitatea explicațiilor și controlul utilizatorului asupra excepțiilor.</w:t>
      </w:r>
    </w:p>
    <w:p>
      <w:pPr>
        <w:ind w:firstLine="709"/>
        <w:jc w:val="both"/>
      </w:pPr>
      <w:r>
        <w:rPr>
          <w:rFonts w:ascii="Times New Roman" w:hAnsi="Times New Roman"/>
          <w:sz w:val="22"/>
        </w:rPr>
        <w:t>Gradul de îndeplinire al obiectivelor este ridicat: implementarea este funcțională, modulară și include evaluare cantitativă în două faze (baseline vs reantrenat). Îmbunătățirile observate pe setul mare de antrenare confirmă utilitatea reantrenării periodice.</w:t>
      </w:r>
    </w:p>
    <w:p>
      <w:pPr>
        <w:ind w:firstLine="709"/>
        <w:jc w:val="both"/>
      </w:pPr>
      <w:r>
        <w:rPr>
          <w:rFonts w:ascii="Times New Roman" w:hAnsi="Times New Roman"/>
          <w:sz w:val="22"/>
        </w:rPr>
        <w:t>Dezvoltări viitoare recomandate includ: cross-encoder pentru re-ranking, învățare activă din feedback-ul analistului, extinderea setului de test cu mai multe scenarii de atac documentate, și monitorizare automată a deriva scorurilor (drift) cu alertare către echipa SOC.</w:t>
      </w:r>
    </w:p>
    <w:p>
      <w:pPr>
        <w:ind w:firstLine="709"/>
        <w:jc w:val="both"/>
      </w:pPr>
      <w:r>
        <w:rPr>
          <w:rFonts w:ascii="Times New Roman" w:hAnsi="Times New Roman"/>
          <w:sz w:val="22"/>
        </w:rPr>
        <w:t>Limitări: etichetarea automată nu este perfectă; LLM poate genera erori dacă contextul este insuficient sau dacă porțile de nivel nu sunt respectate; infrastructura necesită mentenanță (containere, modele embedding, spațiu disc).</w:t>
      </w:r>
    </w:p>
    <w:p>
      <w:pPr>
        <w:ind w:firstLine="709"/>
        <w:jc w:val="both"/>
      </w:pPr>
      <w:r>
        <w:rPr>
          <w:rFonts w:ascii="Times New Roman" w:hAnsi="Times New Roman"/>
          <w:sz w:val="22"/>
        </w:rPr>
        <w:t>În ansamblu, soluția oferă un echilibru între automatizare și control uman, fiind potrivită ca prototip extins spre producție în laboratoare de securitate sau ca bază pentru o teză de master pe tema învățării continue în SOC.</w:t>
      </w:r>
    </w:p>
    <w:p>
      <w:r>
        <w:br w:type="page"/>
      </w:r>
    </w:p>
    <w:p>
      <w:pPr>
        <w:spacing w:after="240"/>
        <w:jc w:val="center"/>
      </w:pPr>
      <w:r>
        <w:rPr>
          <w:rFonts w:ascii="Times New Roman" w:hAnsi="Times New Roman"/>
          <w:b/>
          <w:sz w:val="44"/>
        </w:rPr>
        <w:t>Bibliografie</w:t>
      </w:r>
    </w:p>
    <w:p>
      <w:pPr>
        <w:spacing w:lineRule="auto" w:line="312"/>
      </w:pPr>
      <w:r>
        <w:rPr>
          <w:rFonts w:ascii="Times New Roman" w:hAnsi="Times New Roman"/>
          <w:sz w:val="22"/>
        </w:rPr>
        <w:t>[1] F. T. Liu, K. M. Ting, Z.-H. Zhou, „Isolation forest”, în Proc. IEEE ICDM, 2008, pp. 413–422.</w:t>
      </w:r>
    </w:p>
    <w:p>
      <w:pPr>
        <w:spacing w:lineRule="auto" w:line="312"/>
      </w:pPr>
      <w:r>
        <w:rPr>
          <w:rFonts w:ascii="Times New Roman" w:hAnsi="Times New Roman"/>
          <w:sz w:val="22"/>
        </w:rPr>
        <w:t>[2] C. C. Aggarwal, Outlier Analysis, 2nd ed., Springer, 2016.</w:t>
      </w:r>
    </w:p>
    <w:p>
      <w:pPr>
        <w:spacing w:lineRule="auto" w:line="312"/>
      </w:pPr>
      <w:r>
        <w:rPr>
          <w:rFonts w:ascii="Times New Roman" w:hAnsi="Times New Roman"/>
          <w:sz w:val="22"/>
        </w:rPr>
        <w:t>[3] P. Lewis et al., „Retrieval-augmented generation for knowledge-intensive NLP tasks”, NeurIPS, 2020.</w:t>
      </w:r>
    </w:p>
    <w:p>
      <w:pPr>
        <w:spacing w:lineRule="auto" w:line="312"/>
      </w:pPr>
      <w:r>
        <w:rPr>
          <w:rFonts w:ascii="Times New Roman" w:hAnsi="Times New Roman"/>
          <w:sz w:val="22"/>
        </w:rPr>
        <w:t>[4] N. Reimers, I. Gurevych, „Sentence-BERT: Sentence embeddings using Siamese BERT-networks”, EMNLP-IJCNLP, 2019.</w:t>
      </w:r>
    </w:p>
    <w:p>
      <w:pPr>
        <w:spacing w:lineRule="auto" w:line="312"/>
      </w:pPr>
      <w:r>
        <w:rPr>
          <w:rFonts w:ascii="Times New Roman" w:hAnsi="Times New Roman"/>
          <w:sz w:val="22"/>
        </w:rPr>
        <w:t>[5] MITRE ATT&amp;CK, disponibil: https://attack.mitre.org/</w:t>
      </w:r>
    </w:p>
    <w:p>
      <w:pPr>
        <w:spacing w:lineRule="auto" w:line="312"/>
      </w:pPr>
      <w:r>
        <w:rPr>
          <w:rFonts w:ascii="Times New Roman" w:hAnsi="Times New Roman"/>
          <w:sz w:val="22"/>
        </w:rPr>
        <w:t>[6] MITRE D3FEND, disponibil: https://d3fend.mitre.org/</w:t>
      </w:r>
    </w:p>
    <w:p>
      <w:pPr>
        <w:spacing w:lineRule="auto" w:line="312"/>
      </w:pPr>
      <w:r>
        <w:rPr>
          <w:rFonts w:ascii="Times New Roman" w:hAnsi="Times New Roman"/>
          <w:sz w:val="22"/>
        </w:rPr>
        <w:t>[7] Documentație Wazuh, disponibil: https://documentation.wazuh.com/</w:t>
      </w:r>
    </w:p>
    <w:p>
      <w:pPr>
        <w:spacing w:lineRule="auto" w:line="312"/>
      </w:pPr>
      <w:r>
        <w:rPr>
          <w:rFonts w:ascii="Times New Roman" w:hAnsi="Times New Roman"/>
          <w:sz w:val="22"/>
        </w:rPr>
        <w:t>[8] Qdrant Documentation, disponibil: https://qdrant.tech/documentation/</w:t>
      </w:r>
    </w:p>
    <w:p>
      <w:pPr>
        <w:spacing w:lineRule="auto" w:line="312"/>
      </w:pPr>
      <w:r>
        <w:rPr>
          <w:rFonts w:ascii="Times New Roman" w:hAnsi="Times New Roman"/>
          <w:sz w:val="22"/>
        </w:rPr>
        <w:t>[9] PostgreSQL Documentation, disponibil: https://www.postgresql.org/docs/</w:t>
      </w:r>
    </w:p>
    <w:p>
      <w:pPr>
        <w:spacing w:lineRule="auto" w:line="312"/>
      </w:pPr>
      <w:r>
        <w:rPr>
          <w:rFonts w:ascii="Times New Roman" w:hAnsi="Times New Roman"/>
          <w:sz w:val="22"/>
        </w:rPr>
        <w:t>[10] scikit-learn: IsolationForest, disponibil: https://scikit-learn.org/stable/modules/generated/sklearn.ensemble.IsolationForest.html</w:t>
      </w:r>
    </w:p>
    <w:p>
      <w:pPr>
        <w:spacing w:lineRule="auto" w:line="312"/>
      </w:pPr>
      <w:r>
        <w:rPr>
          <w:rFonts w:ascii="Times New Roman" w:hAnsi="Times New Roman"/>
          <w:sz w:val="22"/>
        </w:rPr>
        <w:t>[11] CISA Known Exploited Vulnerabilities Catalog, disponibil: https://www.cisa.gov/known-exploited-vulnerabilities-catalog</w:t>
      </w:r>
    </w:p>
    <w:p>
      <w:pPr>
        <w:spacing w:lineRule="auto" w:line="312"/>
      </w:pPr>
      <w:r>
        <w:rPr>
          <w:rFonts w:ascii="Times New Roman" w:hAnsi="Times New Roman"/>
          <w:sz w:val="22"/>
        </w:rPr>
        <w:t>[12] SigmaHQ, repository Sigma, disponibil: https://github.com/SigmaHQ/sigma</w:t>
      </w:r>
    </w:p>
    <w:p>
      <w:pPr>
        <w:spacing w:lineRule="auto" w:line="312"/>
      </w:pPr>
      <w:r>
        <w:rPr>
          <w:rFonts w:ascii="Times New Roman" w:hAnsi="Times New Roman"/>
          <w:sz w:val="22"/>
        </w:rPr>
        <w:t>[13] OWASP Top 10, disponibil: https://owasp.org/www-project-top-ten/</w:t>
      </w:r>
    </w:p>
    <w:p>
      <w:pPr>
        <w:spacing w:lineRule="auto" w:line="312"/>
      </w:pPr>
      <w:r>
        <w:rPr>
          <w:rFonts w:ascii="Times New Roman" w:hAnsi="Times New Roman"/>
          <w:sz w:val="22"/>
        </w:rPr>
        <w:t>[14] S. Chuvakin, K. Schmidt, Logging and Log Management, Syngress, 2013.</w:t>
      </w:r>
    </w:p>
    <w:p>
      <w:pPr>
        <w:spacing w:lineRule="auto" w:line="312"/>
      </w:pPr>
      <w:r>
        <w:rPr>
          <w:rFonts w:ascii="Times New Roman" w:hAnsi="Times New Roman"/>
          <w:sz w:val="22"/>
        </w:rPr>
        <w:t>[15] Rapoarte ENISA / DBIR (ed. recentă) pentru contextul amenințărilor — consultați ediția anului curent.</w:t>
      </w:r>
    </w:p>
    <w:p>
      <w:r>
        <w:br w:type="page"/>
      </w:r>
    </w:p>
    <w:p>
      <w:pPr>
        <w:spacing w:after="240"/>
        <w:jc w:val="center"/>
      </w:pPr>
      <w:r>
        <w:rPr>
          <w:rFonts w:ascii="Times New Roman" w:hAnsi="Times New Roman"/>
          <w:b/>
          <w:sz w:val="44"/>
        </w:rPr>
        <w:t>Anexa 1 — Lista figurilor (de completat în Word)</w:t>
      </w:r>
    </w:p>
    <w:p>
      <w:pPr>
        <w:jc w:val="both"/>
      </w:pPr>
      <w:r>
        <w:rPr>
          <w:rFonts w:ascii="Times New Roman" w:hAnsi="Times New Roman"/>
          <w:sz w:val="22"/>
        </w:rPr>
        <w:t>Figura 4.1. Diagrama componentelor sistemului.</w:t>
      </w:r>
    </w:p>
    <w:p>
      <w:pPr>
        <w:jc w:val="both"/>
      </w:pPr>
      <w:r>
        <w:rPr>
          <w:rFonts w:ascii="Times New Roman" w:hAnsi="Times New Roman"/>
          <w:sz w:val="22"/>
        </w:rPr>
        <w:t>Figura 4.2. Fluxul funcțional principal al /api/chat.</w:t>
      </w:r>
    </w:p>
    <w:p>
      <w:pPr>
        <w:jc w:val="both"/>
      </w:pPr>
      <w:r>
        <w:rPr>
          <w:rFonts w:ascii="Times New Roman" w:hAnsi="Times New Roman"/>
          <w:sz w:val="22"/>
        </w:rPr>
        <w:t>Figura 5.1. Matrice de confuzie (opțional, din evaluate_isolation_forest.py --plot).</w:t>
      </w:r>
    </w:p>
    <w:p>
      <w:r>
        <w:br w:type="page"/>
      </w:r>
    </w:p>
    <w:p>
      <w:pPr>
        <w:spacing w:after="240"/>
        <w:jc w:val="center"/>
      </w:pPr>
      <w:r>
        <w:rPr>
          <w:rFonts w:ascii="Times New Roman" w:hAnsi="Times New Roman"/>
          <w:b/>
          <w:sz w:val="44"/>
        </w:rPr>
        <w:t>Anexa 2 — Fragmente de cod sursă (Courier New 10 bold în lucrarea finală)</w:t>
      </w:r>
    </w:p>
    <w:p>
      <w:pPr>
        <w:ind w:firstLine="709"/>
        <w:jc w:val="both"/>
      </w:pPr>
      <w:r>
        <w:rPr>
          <w:rFonts w:ascii="Times New Roman" w:hAnsi="Times New Roman"/>
          <w:sz w:val="22"/>
        </w:rPr>
        <w:t>Inserați aici, din editor, fragmentele relevante (sub 3/4 pagină fiecare) din: ai_engine/anomaly_detector.py (extragerea caracteristicilor și normalizarea scorului), train_isolation_forest.py (antrenare pe benign), rag_core/database/qdrant_store.py (căutare hibridă RRF), backend/server.py (orchestare chat și prag nivel alertă).</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