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tbl>
      <w:tblPr>
        <w:tblW w:type="auto" w:w="0"/>
        <w:tblLook w:firstColumn="1" w:firstRow="1" w:lastColumn="0" w:lastRow="0" w:noHBand="0" w:noVBand="1" w:val="04A0"/>
      </w:tblPr>
      <w:tblGrid>
        <w:gridCol w:w="2946"/>
        <w:gridCol w:w="2946"/>
        <w:gridCol w:w="2946"/>
      </w:tblGrid>
      <w:tr>
        <w:tc>
          <w:tcPr>
            <w:tcW w:type="dxa" w:w="2946"/>
            <w:tcBorders>
              <w:bottom w:val="single" w:sz="8" w:color="808080"/>
            </w:tcBorders>
          </w:tcPr>
          <w:p>
            <w:pPr>
              <w:pStyle w:val="EncabezadoTabla"/>
            </w:pPr>
            <w:r>
              <w:t>Dato personal</w:t>
            </w:r>
          </w:p>
        </w:tc>
        <w:tc>
          <w:tcPr>
            <w:tcW w:type="dxa" w:w="2946"/>
            <w:tcBorders>
              <w:bottom w:val="single" w:sz="8" w:color="808080"/>
            </w:tcBorders>
          </w:tcPr>
          <w:p>
            <w:pPr>
              <w:pStyle w:val="EncabezadoTabla"/>
            </w:pPr>
            <w:r>
              <w:t>Tipo de dato</w:t>
            </w:r>
          </w:p>
        </w:tc>
        <w:tc>
          <w:tcPr>
            <w:tcW w:type="dxa" w:w="2946"/>
            <w:tcBorders>
              <w:bottom w:val="single" w:sz="8" w:color="808080"/>
            </w:tcBorders>
          </w:tcPr>
          <w:p>
            <w:pPr>
              <w:pStyle w:val="EncabezadoTabla"/>
            </w:pPr>
            <w:r>
              <w:t>Medio de obtención</w:t>
            </w:r>
          </w:p>
        </w:tc>
      </w:tr>
      <w:tr>
        <w:tc>
          <w:tcPr>
            <w:tcW w:type="dxa" w:w="2946"/>
          </w:tcPr>
          <w:p>
            <w:pPr>
              <w:pStyle w:val="Parraf"/>
            </w:pPr>
            <w:r>
              <w:t>nombre</w:t>
            </w:r>
          </w:p>
        </w:tc>
        <w:tc>
          <w:tcPr>
            <w:tcW w:type="dxa" w:w="2946"/>
          </w:tcPr>
          <w:p>
            <w:pPr>
              <w:pStyle w:val="Parraf"/>
            </w:pPr>
            <w:r>
              <w:t>No sensible</w:t>
            </w:r>
          </w:p>
        </w:tc>
        <w:tc>
          <w:tcPr>
            <w:tcW w:type="dxa" w:w="2946"/>
          </w:tcPr>
          <w:p>
            <w:pPr>
              <w:pStyle w:val="Parraf"/>
            </w:pPr>
            <w:r>
              <w:t>Correo electrónico</w:t>
            </w:r>
          </w:p>
        </w:tc>
      </w:tr>
      <w:tr>
        <w:tc>
          <w:tcPr>
            <w:tcW w:type="dxa" w:w="2946"/>
            <w:shd w:fill="F5F5F5"/>
          </w:tcPr>
          <w:p>
            <w:pPr>
              <w:pStyle w:val="Parraf"/>
            </w:pPr>
            <w:r>
              <w:t>Fotografía</w:t>
            </w:r>
          </w:p>
        </w:tc>
        <w:tc>
          <w:tcPr>
            <w:tcW w:type="dxa" w:w="2946"/>
            <w:shd w:fill="F5F5F5"/>
          </w:tcPr>
          <w:p>
            <w:pPr>
              <w:pStyle w:val="Parraf"/>
            </w:pPr>
            <w:r>
              <w:t>No sensible</w:t>
            </w:r>
          </w:p>
        </w:tc>
        <w:tc>
          <w:tcPr>
            <w:tcW w:type="dxa" w:w="2946"/>
            <w:shd w:fill="F5F5F5"/>
          </w:tcPr>
          <w:p>
            <w:pPr>
              <w:pStyle w:val="Parraf"/>
            </w:pPr>
            <w:r>
              <w:t>Formulario</w:t>
            </w:r>
          </w:p>
        </w:tc>
      </w:tr>
      <w:tr>
        <w:tc>
          <w:tcPr>
            <w:tcW w:type="dxa" w:w="2946"/>
          </w:tcPr>
          <w:p>
            <w:pPr>
              <w:pStyle w:val="Parraf"/>
            </w:pPr>
            <w:r>
              <w:t>Expediente clínico</w:t>
            </w:r>
          </w:p>
        </w:tc>
        <w:tc>
          <w:tcPr>
            <w:tcW w:type="dxa" w:w="2946"/>
          </w:tcPr>
          <w:p>
            <w:pPr>
              <w:pStyle w:val="Parraf"/>
            </w:pPr>
            <w:r>
              <w:t>Sensibles</w:t>
            </w:r>
          </w:p>
        </w:tc>
        <w:tc>
          <w:tcPr>
            <w:tcW w:type="dxa" w:w="2946"/>
          </w:tcPr>
          <w:p>
            <w:pPr>
              <w:pStyle w:val="Parraf"/>
            </w:pPr>
            <w:r>
              <w:t>Formulario</w:t>
            </w:r>
          </w:p>
        </w:tc>
      </w:tr>
      <w:tr>
        <w:tc>
          <w:tcPr>
            <w:tcW w:type="dxa" w:w="2946"/>
            <w:shd w:fill="F5F5F5"/>
          </w:tcPr>
          <w:p>
            <w:pPr>
              <w:pStyle w:val="Parraf"/>
            </w:pPr>
            <w:r>
              <w:t>posición en la cancha</w:t>
            </w:r>
          </w:p>
        </w:tc>
        <w:tc>
          <w:tcPr>
            <w:tcW w:type="dxa" w:w="2946"/>
            <w:shd w:fill="F5F5F5"/>
          </w:tcPr>
          <w:p>
            <w:pPr>
              <w:pStyle w:val="Parraf"/>
            </w:pPr>
            <w:r>
              <w:t>No sensible</w:t>
            </w:r>
          </w:p>
        </w:tc>
        <w:tc>
          <w:tcPr>
            <w:tcW w:type="dxa" w:w="2946"/>
            <w:shd w:fill="F5F5F5"/>
          </w:tcPr>
          <w:p>
            <w:pPr>
              <w:pStyle w:val="Parraf"/>
            </w:pPr>
            <w:r>
              <w:t>Formulario</w:t>
            </w:r>
          </w:p>
        </w:tc>
      </w:tr>
      <w:tr>
        <w:tc>
          <w:tcPr>
            <w:tcW w:type="dxa" w:w="2946"/>
          </w:tcPr>
          <w:p>
            <w:pPr>
              <w:pStyle w:val="Parraf"/>
            </w:pPr>
            <w:r>
              <w:t>edad</w:t>
            </w:r>
          </w:p>
        </w:tc>
        <w:tc>
          <w:tcPr>
            <w:tcW w:type="dxa" w:w="2946"/>
          </w:tcPr>
          <w:p>
            <w:pPr>
              <w:pStyle w:val="Parraf"/>
            </w:pPr>
            <w:r>
              <w:t>Sensibles</w:t>
            </w:r>
          </w:p>
        </w:tc>
        <w:tc>
          <w:tcPr>
            <w:tcW w:type="dxa" w:w="2946"/>
          </w:tcPr>
          <w:p>
            <w:pPr>
              <w:pStyle w:val="Parraf"/>
            </w:pPr>
            <w:r>
              <w:t>Formulario</w:t>
            </w:r>
          </w:p>
        </w:tc>
      </w:tr>
    </w:tbl>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tbl>
      <w:tblPr>
        <w:tblW w:type="auto" w:w="0"/>
        <w:tblLook w:firstColumn="1" w:firstRow="1" w:lastColumn="0" w:lastRow="0" w:noHBand="0" w:noVBand="1" w:val="04A0"/>
      </w:tblPr>
      <w:tblGrid>
        <w:gridCol w:w="4419"/>
        <w:gridCol w:w="4419"/>
      </w:tblGrid>
      <w:tr>
        <w:tc>
          <w:tcPr>
            <w:tcW w:type="dxa" w:w="4419"/>
            <w:tcBorders>
              <w:bottom w:val="single" w:sz="8" w:color="808080"/>
            </w:tcBorders>
          </w:tcPr>
          <w:p>
            <w:pPr>
              <w:pStyle w:val="EncabezadoTabla"/>
            </w:pPr>
            <w:r>
              <w:t>Finalidad</w:t>
            </w:r>
          </w:p>
        </w:tc>
        <w:tc>
          <w:tcPr>
            <w:tcW w:type="dxa" w:w="4419"/>
            <w:tcBorders>
              <w:bottom w:val="single" w:sz="8" w:color="808080"/>
            </w:tcBorders>
          </w:tcPr>
          <w:p>
            <w:pPr>
              <w:pStyle w:val="EncabezadoTabla"/>
            </w:pPr>
            <w:r>
              <w:t>Detalles</w:t>
            </w:r>
          </w:p>
        </w:tc>
      </w:tr>
      <w:tr>
        <w:tc>
          <w:tcPr>
            <w:tcW w:type="dxa" w:w="4419"/>
          </w:tcPr>
          <w:p>
            <w:pPr>
              <w:pStyle w:val="Parraf"/>
            </w:pPr>
            <w:r>
              <w:t>Realizar reuniones recreativas</w:t>
            </w:r>
          </w:p>
        </w:tc>
        <w:tc>
          <w:tcPr>
            <w:tcW w:type="dxa" w:w="4419"/>
          </w:tcPr>
          <w:p>
            <w:pPr>
              <w:pStyle w:val="Parraf"/>
            </w:pPr>
            <w:r>
              <w:t>Opcional, requiere consentimiento Tácito</w:t>
            </w:r>
          </w:p>
        </w:tc>
      </w:tr>
      <w:tr>
        <w:tc>
          <w:tcPr>
            <w:tcW w:type="dxa" w:w="4419"/>
            <w:shd w:fill="F5F5F5"/>
          </w:tcPr>
          <w:p>
            <w:pPr>
              <w:pStyle w:val="Parraf"/>
            </w:pPr>
            <w:r>
              <w:t>conformar equipos de futbol por alcaldías</w:t>
            </w:r>
          </w:p>
        </w:tc>
        <w:tc>
          <w:tcPr>
            <w:tcW w:type="dxa" w:w="4419"/>
            <w:shd w:fill="F5F5F5"/>
          </w:tcPr>
          <w:p>
            <w:pPr>
              <w:pStyle w:val="Parraf"/>
            </w:pPr>
            <w:r>
              <w:t>Necesaria</w:t>
            </w:r>
          </w:p>
        </w:tc>
      </w:tr>
      <w:tr>
        <w:tc>
          <w:tcPr>
            <w:tcW w:type="dxa" w:w="4419"/>
          </w:tcPr>
          <w:p>
            <w:pPr>
              <w:pStyle w:val="Parraf"/>
            </w:pPr>
            <w:r>
              <w:t>Promoción de profesionalización</w:t>
            </w:r>
          </w:p>
        </w:tc>
        <w:tc>
          <w:tcPr>
            <w:tcW w:type="dxa" w:w="4419"/>
          </w:tcPr>
          <w:p>
            <w:pPr>
              <w:pStyle w:val="Parraf"/>
            </w:pPr>
            <w:r>
              <w:t>Opcional, requiere consentimiento Tácito</w:t>
            </w:r>
          </w:p>
        </w:tc>
      </w:tr>
      <w:tr>
        <w:tc>
          <w:tcPr>
            <w:tcW w:type="dxa" w:w="4419"/>
            <w:shd w:fill="F5F5F5"/>
          </w:tcPr>
          <w:p>
            <w:pPr>
              <w:pStyle w:val="Parraf"/>
            </w:pPr>
            <w:r>
              <w:t>Promoción para beca deportiva</w:t>
            </w:r>
          </w:p>
        </w:tc>
        <w:tc>
          <w:tcPr>
            <w:tcW w:type="dxa" w:w="4419"/>
            <w:shd w:fill="F5F5F5"/>
          </w:tcPr>
          <w:p>
            <w:pPr>
              <w:pStyle w:val="Parraf"/>
            </w:pPr>
            <w:r>
              <w:t>Opcional, requiere consentimiento Tácito</w:t>
            </w:r>
          </w:p>
        </w:tc>
      </w:tr>
      <w:tr>
        <w:tc>
          <w:tcPr>
            <w:tcW w:type="dxa" w:w="4419"/>
          </w:tcPr>
          <w:p>
            <w:pPr>
              <w:pStyle w:val="Parraf"/>
            </w:pPr>
            <w:r>
              <w:t>ejemplificar</w:t>
            </w:r>
          </w:p>
        </w:tc>
        <w:tc>
          <w:tcPr>
            <w:tcW w:type="dxa" w:w="4419"/>
          </w:tcPr>
          <w:p>
            <w:pPr>
              <w:pStyle w:val="Parraf"/>
            </w:pPr>
            <w:r>
              <w:t>Opcional, requiere consentimiento Expreso___________</w:t>
            </w:r>
          </w:p>
        </w:tc>
      </w:tr>
    </w:tbl>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cual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p>
      <w:pPr>
        <w:pStyle w:val="Titu"/>
      </w:pPr>
      <w:r>
        <w:br/>
        <w:t>VII. Transferencias de datos personales</w:t>
      </w:r>
      <w:r>
        <w:rPr>
          <w:rStyle w:val="Footnot"/>
          <w:vertAlign w:val="superscript"/>
        </w:rPr>
        <w:footnoteReference w:id="6"/>
      </w:r>
      <w:r>
        <w:t xml:space="preserve"> /¿A quién se transfieren los datos personales?</w:t>
      </w:r>
    </w:p>
    <w:tbl>
      <w:tblPr>
        <w:tblW w:type="auto" w:w="0"/>
        <w:jc w:val="center"/>
        <w:tblLayout w:type="fixed"/>
        <w:tblLook w:firstColumn="1" w:firstRow="1" w:lastColumn="0" w:lastRow="0" w:noHBand="0" w:noVBand="1" w:val="04A0"/>
      </w:tblPr>
      <w:tblGrid>
        <w:gridCol w:w="2946"/>
        <w:gridCol w:w="2946"/>
        <w:gridCol w:w="2946"/>
      </w:tblGrid>
      <w:tr>
        <w:tc>
          <w:tcPr>
            <w:tcW w:type="dxa" w:w="2946"/>
            <w:tcBorders>
              <w:bottom w:val="single" w:sz="8" w:color="808080"/>
            </w:tcBorders>
          </w:tcPr>
          <w:p>
            <w:pPr>
              <w:pStyle w:val="EncabezadoTabla"/>
            </w:pPr>
            <w:r>
              <w:t>Destinatario</w:t>
            </w:r>
          </w:p>
        </w:tc>
        <w:tc>
          <w:tcPr>
            <w:tcW w:type="dxa" w:w="2946"/>
            <w:tcBorders>
              <w:bottom w:val="single" w:sz="8" w:color="808080"/>
            </w:tcBorders>
          </w:tcPr>
          <w:p>
            <w:pPr>
              <w:pStyle w:val="EncabezadoTabla"/>
            </w:pPr>
            <w:r>
              <w:t>Finalidad</w:t>
            </w:r>
          </w:p>
        </w:tc>
        <w:tc>
          <w:tcPr>
            <w:tcW w:type="dxa" w:w="2946"/>
            <w:tcBorders>
              <w:bottom w:val="single" w:sz="8" w:color="808080"/>
            </w:tcBorders>
          </w:tcPr>
          <w:p>
            <w:pPr>
              <w:pStyle w:val="EncabezadoTabla"/>
            </w:pPr>
            <w:r>
              <w:t>Consentimiento</w:t>
            </w:r>
          </w:p>
        </w:tc>
      </w:tr>
      <w:tr>
        <w:tc>
          <w:tcPr>
            <w:tcW w:type="dxa" w:w="2946"/>
          </w:tcPr>
          <w:p>
            <w:pPr>
              <w:pStyle w:val="Parraf"/>
            </w:pPr>
            <w:r>
              <w:t>FEMEXFUT</w:t>
            </w:r>
          </w:p>
        </w:tc>
        <w:tc>
          <w:tcPr>
            <w:tcW w:type="dxa" w:w="2946"/>
          </w:tcPr>
          <w:p>
            <w:pPr>
              <w:pStyle w:val="Parraf"/>
            </w:pPr>
            <w:r>
              <w:t>Promoción de profesionalización.</w:t>
            </w:r>
          </w:p>
        </w:tc>
        <w:tc>
          <w:tcPr>
            <w:tcW w:type="dxa" w:w="2946"/>
          </w:tcPr>
          <w:p>
            <w:pPr>
              <w:pStyle w:val="Parraf"/>
            </w:pPr>
            <w:r>
              <w:t>¿Da su consentimiento? ________</w:t>
            </w:r>
          </w:p>
        </w:tc>
      </w:tr>
      <w:tr>
        <w:tc>
          <w:tcPr>
            <w:tcW w:type="dxa" w:w="2946"/>
            <w:shd w:fill="F5F5F5"/>
          </w:tcPr>
          <w:p>
            <w:pPr>
              <w:pStyle w:val="Parraf"/>
            </w:pPr>
            <w:r>
              <w:t>Universidades privadas</w:t>
            </w:r>
          </w:p>
        </w:tc>
        <w:tc>
          <w:tcPr>
            <w:tcW w:type="dxa" w:w="2946"/>
            <w:shd w:fill="F5F5F5"/>
          </w:tcPr>
          <w:p>
            <w:pPr>
              <w:pStyle w:val="Parraf"/>
            </w:pPr>
            <w:r>
              <w:t>Promoción para beca deportiva.</w:t>
            </w:r>
          </w:p>
        </w:tc>
        <w:tc>
          <w:tcPr>
            <w:tcW w:type="dxa" w:w="2946"/>
            <w:shd w:fill="F5F5F5"/>
          </w:tcPr>
          <w:p>
            <w:pPr>
              <w:pStyle w:val="Parraf"/>
            </w:pPr>
            <w:r>
              <w:t>¿Da su consentimiento? ________</w:t>
            </w:r>
          </w:p>
        </w:tc>
      </w:tr>
      <w:tr>
        <w:tc>
          <w:tcPr>
            <w:tcW w:type="dxa" w:w="2946"/>
          </w:tcPr>
          <w:p>
            <w:pPr>
              <w:pStyle w:val="Parraf"/>
            </w:pPr>
            <w:r>
              <w:t>ikjuhgfd</w:t>
            </w:r>
          </w:p>
        </w:tc>
        <w:tc>
          <w:tcPr>
            <w:tcW w:type="dxa" w:w="2946"/>
          </w:tcPr>
          <w:p>
            <w:pPr>
              <w:pStyle w:val="Parraf"/>
            </w:pPr>
            <w:r>
              <w:t>conformar equipos de futbol por alcaldías.</w:t>
            </w:r>
          </w:p>
        </w:tc>
        <w:tc>
          <w:tcPr>
            <w:tcW w:type="dxa" w:w="2946"/>
          </w:tcPr>
          <w:p>
            <w:pPr>
              <w:pStyle w:val="Parraf"/>
            </w:pPr>
            <w:r>
              <w:t>No requiere consentimiento</w:t>
            </w:r>
          </w:p>
        </w:tc>
      </w:tr>
    </w:tbl>
    <w:p>
      <w:pPr>
        <w:pStyle w:val="Parraf"/>
      </w:pPr>
    </w:p>
    <w:p>
      <w:pPr>
        <w:pStyle w:val="Titu"/>
      </w:pPr>
      <w:r>
        <w:t>VIII. Mecanismos y medios disponibles para que la persona titular pueda manifestar su negativa para el tratamiento de sus datos personales</w:t>
      </w:r>
      <w:r>
        <w:rPr>
          <w:rStyle w:val="Footnot"/>
          <w:vertAlign w:val="superscript"/>
        </w:rPr>
        <w:footnoteReference w:id="7"/>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IX. Medios para comunicar a las personas titulares de los datos personales los cambios realizados al aviso de privacidad.</w:t>
      </w:r>
      <w:r>
        <w:rPr>
          <w:rStyle w:val="Footnot"/>
          <w:vertAlign w:val="superscript"/>
        </w:rPr>
        <w:footnoteReference w:id="8"/>
      </w:r>
      <w:r>
        <w:t xml:space="preserve"> /¿Dónde se pueden conocer los cambios efectuados a este aviso de privacidad?</w:t>
      </w:r>
    </w:p>
    <w:p>
      <w:pPr>
        <w:pStyle w:val="Parraf"/>
      </w:pPr>
    </w:p>
    <w:p>
      <w:pPr>
        <w:pStyle w:val="Parraf"/>
      </w:pPr>
      <w:r>
        <w:t xml:space="preserve">Los cambios y/o modificaciones a los avisos de privacidad integral y simplificado se identificarán en cada documento conforme a la última actualización que corresponda, en caso de requerir acceso a versiones previas, se sugiere establecer contacto con la Unidad de Proyectos de Futbol a través de los datos que se indican al final del presente documento. No obstante, la versión actualizada y vigente del presente aviso de privacidad, a través de: </w:t>
      </w:r>
    </w:p>
    <w:p>
      <w:pPr>
        <w:pStyle w:val="Vineta"/>
      </w:pPr>
      <w:r>
        <w:t>Portal Institucional.</w:t>
      </w:r>
    </w:p>
    <w:p>
      <w:pPr>
        <w:pStyle w:val="Vineta"/>
      </w:pPr>
      <w:r>
        <w:t xml:space="preserve">URL disponible: </w:t>
      </w:r>
      <w:hyperlink r:id="rId16">
        <w:r>
          <w:rPr>
            <w:color w:val="0000FF"/>
            <w:u w:val="single"/>
          </w:rPr>
          <w:t>https://fut.cultura.mx/aviso-priv</w:t>
        </w:r>
      </w:hyperlink>
    </w:p>
    <w:p>
      <w:pPr>
        <w:pStyle w:val="Parraf"/>
      </w:pPr>
    </w:p>
    <w:p>
      <w:pPr>
        <w:pStyle w:val="Titu"/>
      </w:pPr>
      <w:r>
        <w:t>Portabilidad, exclusiones e información de contacto con Unidad de Proyectos de Futbol</w:t>
      </w:r>
      <w:r>
        <w:rPr>
          <w:rStyle w:val="Footnot"/>
          <w:vertAlign w:val="superscript"/>
        </w:rPr>
        <w:footnoteReference w:id="9"/>
      </w:r>
      <w:r>
        <w:t xml:space="preserve"> /¿Cómo se puede ejercer el derecho a la portabilidad de datos personales?</w:t>
      </w:r>
    </w:p>
    <w:p>
      <w:pPr>
        <w:pStyle w:val="Parraf"/>
      </w:pPr>
    </w:p>
    <w:p>
      <w:pPr>
        <w:pStyle w:val="Parraf"/>
      </w:pPr>
      <w:r>
        <w:t>Este tratamiento de datos personales no se encuentra en formatos estructurados y comúnmente utilizados para su portabilidad, en términos de lo dispuesto en los artículos 51 de la Ley General de Datos que establece los parámetros, y procedimientos para la portabilidad de datos personales.</w:t>
      </w:r>
    </w:p>
    <w:p>
      <w:pPr>
        <w:pStyle w:val="Parraf"/>
      </w:pPr>
    </w:p>
    <w:p>
      <w:pPr>
        <w:pStyle w:val="Titu"/>
      </w:pPr>
      <w:r>
        <w:t>Información adicional</w:t>
      </w:r>
    </w:p>
    <w:p>
      <w:pPr>
        <w:pStyle w:val="Parraf"/>
      </w:pPr>
    </w:p>
    <w:p>
      <w:pPr>
        <w:pStyle w:val="Parraf"/>
      </w:pPr>
      <w:r>
        <w:t>A fin de obtener mayor información respecto al tratamiento de datos personales a cargo de la Unidad de Proyectos de Futbol, se le sugiere establecer comunicación a través del correo electrónico: Unidad de Proyectos de Futbol, o presencialmente, en el domicilio ubicado en siempre viva No. 24, Col. Ciudad Azteca, Ixtapaluca, Estado de México, C.P. 01020, en un horario de lunes a viernes de 9:00 a 18:00 horas.</w:t>
      </w:r>
    </w:p>
    <w:p>
      <w:pPr>
        <w:pStyle w:val="Parraf"/>
      </w:pPr>
    </w:p>
    <w:p>
      <w:pPr>
        <w:pStyle w:val="Parraf"/>
      </w:pPr>
      <w:r>
        <w:t>Se requerirá el consentimiento del padre o tutor, para lo cual es necesario acreditar la personalidad del mismo.</w:t>
        <w:br/>
        <w:br/>
        <w:br/>
        <w:br/>
        <w:t>Referente a la promoción de becas deportivas, el listado de universidades participantes se encuentra en el anexo C.</w:t>
      </w:r>
    </w:p>
    <w:p>
      <w:pPr>
        <w:pStyle w:val="Parraf"/>
      </w:pPr>
    </w:p>
    <w:p>
      <w:pPr>
        <w:pStyle w:val="Fech"/>
      </w:pPr>
      <w:r>
        <w:rPr>
          <w:b/>
        </w:rPr>
        <w:t xml:space="preserve">Fecha de elaboración: </w:t>
      </w:r>
      <w:r>
        <w:t>16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AAADB9" w14:textId="77777777" w:rsidR="003C6880" w:rsidRDefault="003C6880" w:rsidP="00AD1C8F">
      <w:r>
        <w:separator/>
      </w:r>
    </w:p>
  </w:endnote>
  <w:endnote w:type="continuationSeparator" w:id="0">
    <w:p w14:paraId="26E0767C" w14:textId="77777777" w:rsidR="003C6880" w:rsidRDefault="003C6880"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5D128DF2" w:rsidR="002072AB" w:rsidRPr="00C217E4" w:rsidRDefault="003C6880"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8DA71" w14:textId="77777777" w:rsidR="003C6880" w:rsidRDefault="003C6880" w:rsidP="00AD1C8F">
      <w:r>
        <w:separator/>
      </w:r>
    </w:p>
  </w:footnote>
  <w:footnote w:type="continuationSeparator" w:id="0">
    <w:p w14:paraId="70DD1A15" w14:textId="77777777" w:rsidR="003C6880" w:rsidRDefault="003C6880"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 w:id="6">
    <w:p>
      <w:pPr>
        <w:pStyle w:val="Footnot"/>
      </w:pPr>
      <w:r>
        <w:rPr>
          <w:rStyle w:val="FootnoteReference"/>
        </w:rPr>
        <w:footnoteRef/>
      </w:r>
      <w:r>
        <w:t xml:space="preserve"> Requisito previsto por el artículo 21, fracción VII de la Ley General de Datos.</w:t>
      </w:r>
    </w:p>
  </w:footnote>
  <w:footnote w:id="7">
    <w:p>
      <w:pPr>
        <w:pStyle w:val="Footnot"/>
      </w:pPr>
      <w:r>
        <w:rPr>
          <w:rStyle w:val="FootnoteReference"/>
        </w:rPr>
        <w:footnoteRef/>
      </w:r>
      <w:r>
        <w:t xml:space="preserve"> Requisito previsto por el artículo 21, fracción VIII de la Ley General de Datos.</w:t>
      </w:r>
    </w:p>
  </w:footnote>
  <w:footnote w:id="8">
    <w:p>
      <w:pPr>
        <w:pStyle w:val="Footnot"/>
      </w:pPr>
      <w:r>
        <w:rPr>
          <w:rStyle w:val="FootnoteReference"/>
        </w:rPr>
        <w:footnoteRef/>
      </w:r>
      <w:r>
        <w:t xml:space="preserve"> Requisito previsto por el artículo 21, fracción IX y 22, primer párrafo de la Ley General de Datos.</w:t>
      </w:r>
    </w:p>
  </w:footnote>
  <w:footnote w:id="9">
    <w:p>
      <w:pPr>
        <w:pStyle w:val="Footnot"/>
      </w:pPr>
      <w:r>
        <w:rPr>
          <w:rStyle w:val="FootnoteReference"/>
        </w:rPr>
        <w:footnoteRef/>
      </w:r>
      <w:r>
        <w:t xml:space="preserve"> En reconocimiento al derecho establecido en el artículo 51 de la Ley General de Datos, para la obtención de una copia de los datos en formato electrónico estructurado y comúnmente utilizado.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419E"/>
    <w:rsid w:val="00356509"/>
    <w:rsid w:val="00356EC4"/>
    <w:rsid w:val="003601AB"/>
    <w:rsid w:val="00361048"/>
    <w:rsid w:val="00361FE3"/>
    <w:rsid w:val="0037077A"/>
    <w:rsid w:val="00383511"/>
    <w:rsid w:val="00396B08"/>
    <w:rsid w:val="003B0A97"/>
    <w:rsid w:val="003B5E6B"/>
    <w:rsid w:val="003C6880"/>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 w:type="paragraph" w:customStyle="1" w:styleId="EncabezadoTabla">
    <w:name w:val="EncabezadoTabla"/>
    <w:basedOn w:val="Parraf"/>
    <w:link w:val="EncabezadoTablaCar"/>
    <w:qFormat/>
    <w:rsid w:val="0035419E"/>
    <w:rPr>
      <w:b/>
      <w:i/>
    </w:rPr>
  </w:style>
  <w:style w:type="character" w:customStyle="1" w:styleId="EncabezadoTablaCar">
    <w:name w:val="EncabezadoTabla Car"/>
    <w:basedOn w:val="ParrafCar"/>
    <w:link w:val="EncabezadoTabla"/>
    <w:rsid w:val="0035419E"/>
    <w:rPr>
      <w:rFonts w:ascii="Noto Sans" w:eastAsia="Times New Roman" w:hAnsi="Noto Sans" w:cs="Noto Sans"/>
      <w:b/>
      <w:i/>
      <w:sz w:val="20"/>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4C6BC-4AF1-4AC7-828D-7898806E5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23</cp:revision>
  <cp:lastPrinted>2026-05-28T16:48:00Z</cp:lastPrinted>
  <dcterms:created xsi:type="dcterms:W3CDTF">2026-08-14T23:54:00Z</dcterms:created>
  <dcterms:modified xsi:type="dcterms:W3CDTF">2026-10-16T17:55:00Z</dcterms:modified>
</cp:coreProperties>
</file>