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0435E" w14:textId="7E74BF95" w:rsidR="00FB108A" w:rsidRPr="008F32B4" w:rsidRDefault="00FB108A" w:rsidP="00FB108A">
      <w:pPr>
        <w:jc w:val="both"/>
        <w:rPr>
          <w:rFonts w:ascii="Noto Sans" w:hAnsi="Noto Sans" w:cs="Noto Sans"/>
          <w:sz w:val="20"/>
          <w:szCs w:val="20"/>
        </w:rPr>
      </w:pPr>
      <w:bookmarkStart w:id="0" w:name="_GoBack"/>
      <w:bookmarkEnd w:id="0"/>
    </w:p>
    <w:p>
      <w:pPr>
        <w:pStyle w:val="superTit"/>
      </w:pPr>
      <w:r>
        <w:t>AVISO DE PRIVACIDAD INTEGRAL</w:t>
      </w:r>
    </w:p>
    <w:p>
      <w:pPr>
        <w:pStyle w:val="superTit"/>
      </w:pPr>
      <w:r>
        <w:t>Captación de Jugadores</w:t>
      </w:r>
    </w:p>
    <w:p>
      <w:pPr>
        <w:pStyle w:val="Parraf"/>
      </w:pPr>
    </w:p>
    <w:p>
      <w:pPr>
        <w:pStyle w:val="Titu"/>
      </w:pPr>
      <w:r>
        <w:t>I. Denominación y domicilio del responsable</w:t>
      </w:r>
      <w:r>
        <w:rPr>
          <w:rStyle w:val="Footnot"/>
          <w:vertAlign w:val="superscript"/>
        </w:rPr>
        <w:footnoteReference w:id="1"/>
      </w:r>
      <w:r>
        <w:t xml:space="preserve"> /¿Quién es el responsable del tratamiento de los datos personales?</w:t>
      </w:r>
    </w:p>
    <w:p>
      <w:pPr>
        <w:pStyle w:val="Parraf"/>
      </w:pPr>
    </w:p>
    <w:p>
      <w:pPr>
        <w:pStyle w:val="Parraf"/>
      </w:pPr>
      <w:r>
        <w:t>La Comisión Nacional de Cultura Física y Deporte, a través de la Unidad de Proyectos de Futbol, con domicilio en siempre viva No. 24, Col. Ciudad Azteca, Ixtapaluca, Estado de México, C.P. 01020, es el área administrativa responsable del tratamiento de los datos personales que nos proporcione, los cuales serán protegidos conforme a lo dispuesto por la Ley General de Protección de Datos Personales en Posesión de Sujetos Obligados (Ley General de Datos), la Ley General de Transparencia y Acceso a la Información Pública (Ley General de Transparencia), y demás disposiciones jurídicas aplicables.</w:t>
      </w:r>
    </w:p>
    <w:p>
      <w:pPr>
        <w:pStyle w:val="Parraf"/>
      </w:pPr>
    </w:p>
    <w:p>
      <w:pPr>
        <w:pStyle w:val="Parraf"/>
      </w:pPr>
      <w:r>
        <w:t>Los datos personales recabados, serán incorporados y tratados en el sistema denominado:</w:t>
      </w:r>
    </w:p>
    <w:p>
      <w:pPr>
        <w:pStyle w:val="Parraf"/>
      </w:pPr>
    </w:p>
    <w:p>
      <w:pPr>
        <w:pStyle w:val="Parraf"/>
      </w:pPr>
      <w:r>
        <w:t>Captación de Jugadores</w:t>
      </w:r>
    </w:p>
    <w:p>
      <w:pPr>
        <w:pStyle w:val="Parraf"/>
      </w:pPr>
    </w:p>
    <w:p>
      <w:pPr>
        <w:pStyle w:val="Titu"/>
      </w:pPr>
      <w:r>
        <w:t>II. Datos personales sometidos a tratamiento, identificando los que son sensibles</w:t>
      </w:r>
      <w:r>
        <w:rPr>
          <w:rStyle w:val="Footnot"/>
          <w:vertAlign w:val="superscript"/>
        </w:rPr>
        <w:footnoteReference w:id="2"/>
      </w:r>
      <w:r>
        <w:t xml:space="preserve"> / ¿Qué datos personales se recaban?</w:t>
      </w:r>
    </w:p>
    <w:p>
      <w:pPr>
        <w:pStyle w:val="Parraf"/>
      </w:pPr>
    </w:p>
    <w:p>
      <w:pPr>
        <w:pStyle w:val="Parraf"/>
      </w:pPr>
      <w:r>
        <w:t>De conformidad con el artículo 3, fracciones IX y X, de la Ley General de Protección de Datos Personales en Posesión de los Sujetos Obligados (Ley General de Datos), se entienden por datos personales y datos personales sensibles, los siguientes:</w:t>
      </w:r>
    </w:p>
    <w:p>
      <w:pPr>
        <w:pStyle w:val="Parraf"/>
      </w:pPr>
    </w:p>
    <w:p>
      <w:pPr>
        <w:pStyle w:val="Vineta"/>
      </w:pPr>
      <w:r>
        <w:rPr>
          <w:b/>
        </w:rPr>
        <w:t xml:space="preserve">Datos personales: </w:t>
      </w:r>
      <w:r>
        <w:t>Cualquier información concerniente a una persona identificada o identificable. Se considera que una persona es identificable cuando su identidad pueda determinarse directa o indirectamente a través de cualquier información.</w:t>
      </w:r>
    </w:p>
    <w:p>
      <w:pPr>
        <w:pStyle w:val="Parraf"/>
      </w:pPr>
    </w:p>
    <w:p>
      <w:pPr>
        <w:pStyle w:val="Vineta"/>
      </w:pPr>
      <w:r>
        <w:rPr>
          <w:b/>
        </w:rPr>
        <w:t xml:space="preserve">Datos personales sensibles: </w:t>
      </w:r>
      <w:r>
        <w:t>Aquellos que se refieran a la esfera más íntima de la persona titular, o cuya utilización indebida pueda dar origen a discriminación o conlleve un riesgo grave para ésta.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p>
      <w:pPr>
        <w:pStyle w:val="Parraf"/>
      </w:pPr>
    </w:p>
    <w:p>
      <w:pPr>
        <w:pStyle w:val="Parraf"/>
      </w:pPr>
      <w:r>
        <w:t>Asimismo, por tratamiento debe entenderse 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 tal como lo previene el artículo 3, fracción XXXI, de la Ley General de Datos.</w:t>
      </w:r>
    </w:p>
    <w:p>
      <w:pPr>
        <w:pStyle w:val="Parraf"/>
      </w:pPr>
    </w:p>
    <w:p>
      <w:pPr>
        <w:pStyle w:val="Parraf"/>
      </w:pPr>
      <w:r>
        <w:t>Una vez señalado lo anterior, se hace de su conocimiento que la Unidad de Proyectos de Futbol, recaba, procesa y utiliza diversos datos personales de identificación y contacto de las personas titulares, los cuáles se señalan a continuación:</w:t>
      </w:r>
    </w:p>
    <w:p>
      <w:pPr>
        <w:pStyle w:val="Parraf"/>
      </w:pPr>
    </w:p>
    <w:tbl>
      <w:tblPr>
        <w:tblW w:type="auto" w:w="0"/>
        <w:tblLook w:firstColumn="1" w:firstRow="1" w:lastColumn="0" w:lastRow="0" w:noHBand="0" w:noVBand="1" w:val="04A0"/>
      </w:tblPr>
      <w:tblGrid>
        <w:gridCol w:w="2946"/>
        <w:gridCol w:w="2946"/>
        <w:gridCol w:w="2946"/>
      </w:tblGrid>
      <w:tr>
        <w:tc>
          <w:tcPr>
            <w:tcW w:type="dxa" w:w="2946"/>
          </w:tcPr>
          <w:p>
            <w:r>
              <w:t>Dato personal</w:t>
            </w:r>
          </w:p>
        </w:tc>
        <w:tc>
          <w:tcPr>
            <w:tcW w:type="dxa" w:w="2946"/>
          </w:tcPr>
          <w:p>
            <w:r>
              <w:t>Tipo de dato</w:t>
            </w:r>
          </w:p>
        </w:tc>
        <w:tc>
          <w:tcPr>
            <w:tcW w:type="dxa" w:w="2946"/>
          </w:tcPr>
          <w:p>
            <w:r>
              <w:t>Obtención</w:t>
            </w:r>
          </w:p>
        </w:tc>
      </w:tr>
      <w:tr>
        <w:tc>
          <w:tcPr>
            <w:tcW w:type="dxa" w:w="2946"/>
          </w:tcPr>
          <w:p>
            <w:r>
              <w:t>nombre</w:t>
            </w:r>
          </w:p>
        </w:tc>
        <w:tc>
          <w:tcPr>
            <w:tcW w:type="dxa" w:w="2946"/>
          </w:tcPr>
          <w:p>
            <w:r>
              <w:t>No sensibles</w:t>
            </w:r>
          </w:p>
        </w:tc>
        <w:tc>
          <w:tcPr>
            <w:tcW w:type="dxa" w:w="2946"/>
          </w:tcPr>
          <w:p>
            <w:r>
              <w:t>Correo electrónico</w:t>
            </w:r>
          </w:p>
        </w:tc>
      </w:tr>
      <w:tr>
        <w:tc>
          <w:tcPr>
            <w:tcW w:type="dxa" w:w="2946"/>
          </w:tcPr>
          <w:p>
            <w:r>
              <w:t>Fotografía</w:t>
            </w:r>
          </w:p>
        </w:tc>
        <w:tc>
          <w:tcPr>
            <w:tcW w:type="dxa" w:w="2946"/>
          </w:tcPr>
          <w:p>
            <w:r>
              <w:t>No sensibles</w:t>
            </w:r>
          </w:p>
        </w:tc>
        <w:tc>
          <w:tcPr>
            <w:tcW w:type="dxa" w:w="2946"/>
          </w:tcPr>
          <w:p>
            <w:r>
              <w:t>Formulario</w:t>
            </w:r>
          </w:p>
        </w:tc>
      </w:tr>
      <w:tr>
        <w:tc>
          <w:tcPr>
            <w:tcW w:type="dxa" w:w="2946"/>
          </w:tcPr>
          <w:p>
            <w:r>
              <w:t>Expediente clínico</w:t>
            </w:r>
          </w:p>
        </w:tc>
        <w:tc>
          <w:tcPr>
            <w:tcW w:type="dxa" w:w="2946"/>
          </w:tcPr>
          <w:p>
            <w:r>
              <w:t>Sensibles</w:t>
            </w:r>
          </w:p>
        </w:tc>
        <w:tc>
          <w:tcPr>
            <w:tcW w:type="dxa" w:w="2946"/>
          </w:tcPr>
          <w:p>
            <w:r>
              <w:t>Formulario</w:t>
            </w:r>
          </w:p>
        </w:tc>
      </w:tr>
      <w:tr>
        <w:tc>
          <w:tcPr>
            <w:tcW w:type="dxa" w:w="2946"/>
          </w:tcPr>
          <w:p>
            <w:r>
              <w:t>posición en la cancha</w:t>
            </w:r>
          </w:p>
        </w:tc>
        <w:tc>
          <w:tcPr>
            <w:tcW w:type="dxa" w:w="2946"/>
          </w:tcPr>
          <w:p>
            <w:r>
              <w:t>No sensibles</w:t>
            </w:r>
          </w:p>
        </w:tc>
        <w:tc>
          <w:tcPr>
            <w:tcW w:type="dxa" w:w="2946"/>
          </w:tcPr>
          <w:p>
            <w:r>
              <w:t>Formulario</w:t>
            </w:r>
          </w:p>
        </w:tc>
      </w:tr>
      <w:tr>
        <w:tc>
          <w:tcPr>
            <w:tcW w:type="dxa" w:w="2946"/>
          </w:tcPr>
          <w:p>
            <w:r>
              <w:t>edad</w:t>
            </w:r>
          </w:p>
        </w:tc>
        <w:tc>
          <w:tcPr>
            <w:tcW w:type="dxa" w:w="2946"/>
          </w:tcPr>
          <w:p>
            <w:r>
              <w:t>Sensibles</w:t>
            </w:r>
          </w:p>
        </w:tc>
        <w:tc>
          <w:tcPr>
            <w:tcW w:type="dxa" w:w="2946"/>
          </w:tcPr>
          <w:p>
            <w:r>
              <w:t>Formulario</w:t>
            </w:r>
          </w:p>
        </w:tc>
      </w:tr>
    </w:tbl>
    <w:p>
      <w:pPr>
        <w:pStyle w:val="Parraf"/>
      </w:pPr>
    </w:p>
    <w:p>
      <w:pPr>
        <w:pStyle w:val="Parraf"/>
      </w:pPr>
      <w:r>
        <w:t>Por otra parte, también resulta importante mencionar que de conformidad con el artículo 4, párrafo segundo de la Ley General de Transparencia, toda la información generada, obtenida, adquirida, transformada o en posesión de los sujetos obligados es pública y accesible a cualquier persona, en los términos y condiciones que se establezcan en la Ley General de Transparencia, en los tratados internacionales de los que el Estado mexicano sea parte, las leyes de las entidades federativas y en las disposiciones jurídicas aplicables dentro de sus respectivas competencias, así como de conformidad con el párrafo tercero del artículo 4 de la Ley General de Transparencia la información podrá ser clasificada como reservada temporalmente por razones de interés público o seguridad nacional conforme a los términos establecidos por la Ley General de Transparencia.</w:t>
      </w:r>
    </w:p>
    <w:p>
      <w:pPr>
        <w:pStyle w:val="Parraf"/>
      </w:pPr>
    </w:p>
    <w:p>
      <w:pPr>
        <w:pStyle w:val="Parraf"/>
      </w:pPr>
      <w:r>
        <w:t>En consecuencia, la información contenida en los archivos de la Unidad de Proyectos de Futbol es susceptible de considerarse información pública, inclusive los datos personales que, por disposición de la Ley General de Transparencia, sean considerados como información pública (por ejemplo, datos de identificación de servidoras y servidores públicos).</w:t>
      </w:r>
    </w:p>
    <w:p>
      <w:pPr>
        <w:pStyle w:val="Parraf"/>
      </w:pPr>
    </w:p>
    <w:p>
      <w:pPr>
        <w:pStyle w:val="Titu"/>
      </w:pPr>
      <w:r>
        <w:t>III. Fundamento legal que faculta a la Unidad de Proyectos de Futbol para llevar a cabo el tratamiento de datos personales</w:t>
      </w:r>
      <w:r>
        <w:rPr>
          <w:rStyle w:val="Footnot"/>
          <w:vertAlign w:val="superscript"/>
        </w:rPr>
        <w:footnoteReference w:id="3"/>
      </w:r>
      <w:r>
        <w:t xml:space="preserve"> / ¿Cuál es el fundamento legal para el tratamiento?</w:t>
      </w:r>
    </w:p>
    <w:p>
      <w:pPr>
        <w:pStyle w:val="Parraf"/>
      </w:pPr>
    </w:p>
    <w:p>
      <w:pPr>
        <w:pStyle w:val="Vineta"/>
      </w:pPr>
      <w:r>
        <w:t>Artículos 1, 2 y 3 de la Ley de Futbol</w:t>
      </w:r>
    </w:p>
    <w:p>
      <w:pPr>
        <w:pStyle w:val="Parraf"/>
      </w:pPr>
    </w:p>
    <w:p>
      <w:pPr>
        <w:pStyle w:val="Titu"/>
      </w:pPr>
      <w:r>
        <w:t>IV. Finalidades del tratamiento para las cuales se obtienen los datos personales distinguiendo aquellas que requieren el consentimiento de la persona titular</w:t>
      </w:r>
      <w:r>
        <w:rPr>
          <w:rStyle w:val="Footnot"/>
          <w:vertAlign w:val="superscript"/>
        </w:rPr>
        <w:footnoteReference w:id="4"/>
      </w:r>
      <w:r>
        <w:t xml:space="preserve"> /¿Cuáles son las finalidades del tratamiento?</w:t>
      </w:r>
    </w:p>
    <w:p>
      <w:pPr>
        <w:pStyle w:val="Parraf"/>
      </w:pPr>
    </w:p>
    <w:p>
      <w:pPr>
        <w:pStyle w:val="Parraf"/>
      </w:pPr>
      <w:r>
        <w:t>Los datos personales recabados, serán utilizados para las siguientes finalidades:</w:t>
      </w:r>
    </w:p>
    <w:p>
      <w:pPr>
        <w:pStyle w:val="Parraf"/>
      </w:pPr>
    </w:p>
    <w:tbl>
      <w:tblPr>
        <w:tblW w:type="auto" w:w="0"/>
        <w:tblLook w:firstColumn="1" w:firstRow="1" w:lastColumn="0" w:lastRow="0" w:noHBand="0" w:noVBand="1" w:val="04A0"/>
      </w:tblPr>
      <w:tblGrid>
        <w:gridCol w:w="2946"/>
        <w:gridCol w:w="2946"/>
        <w:gridCol w:w="2946"/>
      </w:tblGrid>
      <w:tr>
        <w:tc>
          <w:tcPr>
            <w:tcW w:type="dxa" w:w="2946"/>
          </w:tcPr>
          <w:p>
            <w:r>
              <w:t>Finalidad</w:t>
            </w:r>
          </w:p>
        </w:tc>
        <w:tc>
          <w:tcPr>
            <w:tcW w:type="dxa" w:w="2946"/>
          </w:tcPr>
          <w:p>
            <w:r>
              <w:t>Detalles</w:t>
            </w:r>
          </w:p>
        </w:tc>
        <w:tc>
          <w:tcPr>
            <w:tcW w:type="dxa" w:w="2946"/>
          </w:tcPr>
          <w:p>
            <w:r>
              <w:t>Autorización</w:t>
            </w:r>
          </w:p>
        </w:tc>
      </w:tr>
      <w:tr>
        <w:tc>
          <w:tcPr>
            <w:tcW w:type="dxa" w:w="2946"/>
          </w:tcPr>
          <w:p>
            <w:r>
              <w:t>Realizar reuniones recreativas</w:t>
            </w:r>
          </w:p>
        </w:tc>
        <w:tc>
          <w:tcPr>
            <w:tcW w:type="dxa" w:w="2946"/>
          </w:tcPr>
          <w:p>
            <w:r>
              <w:t>Opcional, requiere consentimiento Tácito</w:t>
            </w:r>
          </w:p>
        </w:tc>
        <w:tc>
          <w:tcPr>
            <w:tcW w:type="dxa" w:w="2946"/>
          </w:tcPr>
          <w:p/>
        </w:tc>
      </w:tr>
      <w:tr>
        <w:tc>
          <w:tcPr>
            <w:tcW w:type="dxa" w:w="2946"/>
          </w:tcPr>
          <w:p>
            <w:r>
              <w:t>conformar equipos de futbol por alcaldías</w:t>
            </w:r>
          </w:p>
        </w:tc>
        <w:tc>
          <w:tcPr>
            <w:tcW w:type="dxa" w:w="2946"/>
          </w:tcPr>
          <w:p>
            <w:r>
              <w:t>Necesaria</w:t>
            </w:r>
          </w:p>
        </w:tc>
        <w:tc>
          <w:tcPr>
            <w:tcW w:type="dxa" w:w="2946"/>
          </w:tcPr>
          <w:p/>
        </w:tc>
      </w:tr>
      <w:tr>
        <w:tc>
          <w:tcPr>
            <w:tcW w:type="dxa" w:w="2946"/>
          </w:tcPr>
          <w:p>
            <w:r>
              <w:t>Promoción de profesionalización</w:t>
            </w:r>
          </w:p>
        </w:tc>
        <w:tc>
          <w:tcPr>
            <w:tcW w:type="dxa" w:w="2946"/>
          </w:tcPr>
          <w:p>
            <w:r>
              <w:t>Opcional, requiere consentimiento Tácito</w:t>
            </w:r>
          </w:p>
        </w:tc>
        <w:tc>
          <w:tcPr>
            <w:tcW w:type="dxa" w:w="2946"/>
          </w:tcPr>
          <w:p/>
        </w:tc>
      </w:tr>
      <w:tr>
        <w:tc>
          <w:tcPr>
            <w:tcW w:type="dxa" w:w="2946"/>
          </w:tcPr>
          <w:p>
            <w:r>
              <w:t>Promoción para beca deportiva</w:t>
            </w:r>
          </w:p>
        </w:tc>
        <w:tc>
          <w:tcPr>
            <w:tcW w:type="dxa" w:w="2946"/>
          </w:tcPr>
          <w:p>
            <w:r>
              <w:t>Opcional, requiere consentimiento Tácito</w:t>
            </w:r>
          </w:p>
        </w:tc>
        <w:tc>
          <w:tcPr>
            <w:tcW w:type="dxa" w:w="2946"/>
          </w:tcPr>
          <w:p/>
        </w:tc>
      </w:tr>
    </w:tbl>
    <w:p>
      <w:pPr>
        <w:pStyle w:val="Parraf"/>
      </w:pPr>
    </w:p>
    <w:p>
      <w:pPr>
        <w:pStyle w:val="Titu"/>
      </w:pPr>
      <w:r>
        <w:br/>
        <w:t>V y VI. Domicilio de la Unidad de Transparencia y mecanismos, medios y procedimientos disponibles para ejercer los derechos de Acceso, Rectificación, Cancelación u Oposición.</w:t>
      </w:r>
      <w:r>
        <w:rPr>
          <w:rStyle w:val="Footnot"/>
          <w:vertAlign w:val="superscript"/>
        </w:rPr>
        <w:footnoteReference w:id="5"/>
      </w:r>
      <w:r>
        <w:t xml:space="preserve"> /¿Dónde está ubicada la Unidad y Transparencia? ¿Ante quién se realiza el ejercicio de los Derechos ARCO?</w:t>
      </w:r>
    </w:p>
    <w:p>
      <w:pPr>
        <w:pStyle w:val="Parraf"/>
      </w:pPr>
    </w:p>
    <w:p>
      <w:pPr>
        <w:pStyle w:val="Parraf"/>
      </w:pPr>
      <w:r>
        <w:t xml:space="preserve">Usted podrá ejercer sus derechos de acceso, rectificación, cancelación u oposición de sus datos personales directamente ante la Unidad de Transparencia de la </w:t>
      </w:r>
      <w:r>
        <w:t xml:space="preserve">Comisión Nacional de Cultura Física y Deporte, ubicada en siempre viva No. 24, Col. Ciudad Azteca, Ixtapaluca, Estado de México, C.P. 01020; número telefónico y extensión: </w:t>
      </w:r>
      <w:r>
        <w:t xml:space="preserve">; número telefónico y extensión: 98 7451 0236, extensiones </w:t>
      </w:r>
      <w:r>
        <w:t>, correo electrónico ut.futbol@cultura.mx.</w:t>
      </w:r>
    </w:p>
    <w:p>
      <w:pPr>
        <w:pStyle w:val="Parraf"/>
      </w:pPr>
      <w:r>
        <w:t>El procedimiento para el ejercicio de los derechos ARCO se pone a disposición en el formato anexo a este aviso de privacidad, el cuál deberá ser enviado al correo electrónico futbol@cultura.mx</w:t>
      </w:r>
    </w:p>
    <w:p>
      <w:pPr>
        <w:pStyle w:val="Parraf"/>
      </w:pPr>
    </w:p>
    <w:p>
      <w:pPr>
        <w:pStyle w:val="Parraf"/>
      </w:pPr>
      <w:r>
        <w:t>Asimismo, si desea recibir asesoría para el ejercicio de estos derechos puede acudir directamente a la Unidad de Transparencia, enviar un correo electrónico a la dirección antes señalada o comunicarse al número y extensión indicada.</w:t>
      </w:r>
    </w:p>
    <w:p>
      <w:pPr>
        <w:pStyle w:val="Parraf"/>
      </w:pPr>
    </w:p>
    <w:p>
      <w:pPr>
        <w:pStyle w:val="Titu"/>
      </w:pPr>
      <w:r>
        <w:br/>
        <w:t>VII. Transferencias de datos personales</w:t>
      </w:r>
      <w:r>
        <w:rPr>
          <w:rStyle w:val="Footnot"/>
          <w:vertAlign w:val="superscript"/>
        </w:rPr>
        <w:footnoteReference w:id="6"/>
      </w:r>
      <w:r>
        <w:t xml:space="preserve"> /¿A quién se transfieren los datos personales?</w:t>
      </w:r>
    </w:p>
    <w:tbl>
      <w:tblPr>
        <w:tblW w:type="auto" w:w="0"/>
        <w:tblLook w:firstColumn="1" w:firstRow="1" w:lastColumn="0" w:lastRow="0" w:noHBand="0" w:noVBand="1" w:val="04A0"/>
      </w:tblPr>
      <w:tblGrid>
        <w:gridCol w:w="2946"/>
        <w:gridCol w:w="2946"/>
        <w:gridCol w:w="2946"/>
      </w:tblGrid>
      <w:tr>
        <w:tc>
          <w:tcPr>
            <w:tcW w:type="dxa" w:w="2946"/>
          </w:tcPr>
          <w:p>
            <w:r>
              <w:t>Destinatario</w:t>
            </w:r>
          </w:p>
        </w:tc>
        <w:tc>
          <w:tcPr>
            <w:tcW w:type="dxa" w:w="2946"/>
          </w:tcPr>
          <w:p>
            <w:r>
              <w:t>Finalidad</w:t>
            </w:r>
          </w:p>
        </w:tc>
        <w:tc>
          <w:tcPr>
            <w:tcW w:type="dxa" w:w="2946"/>
          </w:tcPr>
          <w:p>
            <w:r>
              <w:t>consentimiento</w:t>
            </w:r>
          </w:p>
        </w:tc>
      </w:tr>
      <w:tr>
        <w:tc>
          <w:tcPr>
            <w:tcW w:type="dxa" w:w="2946"/>
          </w:tcPr>
          <w:p>
            <w:r>
              <w:t>FEMEXFUT</w:t>
            </w:r>
          </w:p>
        </w:tc>
        <w:tc>
          <w:tcPr>
            <w:tcW w:type="dxa" w:w="2946"/>
          </w:tcPr>
          <w:p>
            <w:r>
              <w:t>¿Da su consentimiento? [  ]</w:t>
            </w:r>
          </w:p>
        </w:tc>
        <w:tc>
          <w:tcPr>
            <w:tcW w:type="dxa" w:w="2946"/>
          </w:tcPr>
          <w:p/>
        </w:tc>
      </w:tr>
      <w:tr>
        <w:tc>
          <w:tcPr>
            <w:tcW w:type="dxa" w:w="2946"/>
          </w:tcPr>
          <w:p>
            <w:r>
              <w:t>Universidades privadas</w:t>
            </w:r>
          </w:p>
        </w:tc>
        <w:tc>
          <w:tcPr>
            <w:tcW w:type="dxa" w:w="2946"/>
          </w:tcPr>
          <w:p>
            <w:r>
              <w:t>¿Da su consentimiento? [  ]</w:t>
            </w:r>
          </w:p>
        </w:tc>
        <w:tc>
          <w:tcPr>
            <w:tcW w:type="dxa" w:w="2946"/>
          </w:tcPr>
          <w:p/>
        </w:tc>
      </w:tr>
    </w:tbl>
    <w:p>
      <w:pPr>
        <w:pStyle w:val="Parraf"/>
      </w:pPr>
    </w:p>
    <w:p>
      <w:pPr>
        <w:pStyle w:val="Titu"/>
      </w:pPr>
      <w:r>
        <w:t>VIII. Mecanismos y medios disponibles para que la persona titular pueda manifestar su negativa para el tratamiento de sus datos personales</w:t>
      </w:r>
      <w:r>
        <w:rPr>
          <w:rStyle w:val="Footnot"/>
          <w:vertAlign w:val="superscript"/>
        </w:rPr>
        <w:footnoteReference w:id="7"/>
      </w:r>
      <w:r>
        <w:t xml:space="preserve"> /¿Cómo se puede manifestar la negativa para el tratamiento o transferencia de datos personales?</w:t>
      </w:r>
    </w:p>
    <w:p>
      <w:pPr>
        <w:pStyle w:val="Parraf"/>
      </w:pPr>
    </w:p>
    <w:p>
      <w:pPr>
        <w:pStyle w:val="Parraf"/>
      </w:pPr>
      <w:r>
        <w:t>El mecanismo para manifestar la negativa se pondrá a disposición de los prospectos a través del llenado de una casilla al momento de solicitarles sus datos personales.  Los prospectos que decidan no entregar sus datos, no podrán formar parte del programa.</w:t>
      </w:r>
    </w:p>
    <w:p>
      <w:pPr>
        <w:pStyle w:val="Parraf"/>
      </w:pPr>
    </w:p>
    <w:p>
      <w:pPr>
        <w:pStyle w:val="Titu"/>
      </w:pPr>
      <w:r>
        <w:t>IX. Medios para comunicar a las personas titulares de los datos personales los cambios realizados al aviso de privacidad.</w:t>
      </w:r>
      <w:r>
        <w:rPr>
          <w:rStyle w:val="Footnot"/>
          <w:vertAlign w:val="superscript"/>
        </w:rPr>
        <w:footnoteReference w:id="8"/>
      </w:r>
      <w:r>
        <w:t xml:space="preserve"> /¿Dónde se pueden conocer los cambios efectuados a este aviso de privacidad?</w:t>
      </w:r>
    </w:p>
    <w:p>
      <w:pPr>
        <w:pStyle w:val="Parraf"/>
      </w:pPr>
    </w:p>
    <w:p>
      <w:pPr>
        <w:pStyle w:val="Parraf"/>
      </w:pPr>
      <w:r>
        <w:t xml:space="preserve">Los cambios y/o modificaciones a los avisos de privacidad integral y simplificado se identificarán en cada documento conforme a la última actualización que corresponda, en caso de requerir acceso a versiones previas, se sugiere establecer contacto con la Unidad de Proyectos de Futbol a través de los datos que se indican al final del presente documento. No obstante, la versión actualizada y vigente del presente aviso de privacidad, a través de: </w:t>
      </w:r>
    </w:p>
    <w:p>
      <w:pPr>
        <w:pStyle w:val="Vineta"/>
      </w:pPr>
      <w:r>
        <w:t>Portal Institucional.</w:t>
      </w:r>
    </w:p>
    <w:p>
      <w:pPr>
        <w:pStyle w:val="Vineta"/>
      </w:pPr>
      <w:r>
        <w:t xml:space="preserve">URL disponible: </w:t>
      </w:r>
      <w:hyperlink r:id="rId16">
        <w:r>
          <w:rPr>
            <w:color w:val="0000FF"/>
            <w:u w:val="single"/>
          </w:rPr>
          <w:t>https://fut.cultura.mx/aviso-priv</w:t>
        </w:r>
      </w:hyperlink>
    </w:p>
    <w:p>
      <w:pPr>
        <w:pStyle w:val="Parraf"/>
      </w:pPr>
    </w:p>
    <w:p>
      <w:pPr>
        <w:pStyle w:val="Titu"/>
      </w:pPr>
      <w:r>
        <w:t>Portabilidad, exclusiones e información de contacto con Unidad de Proyectos de Futbol</w:t>
      </w:r>
      <w:r>
        <w:rPr>
          <w:rStyle w:val="Footnot"/>
          <w:vertAlign w:val="superscript"/>
        </w:rPr>
        <w:footnoteReference w:id="9"/>
      </w:r>
      <w:r>
        <w:t xml:space="preserve"> /¿Cómo se puede ejercer el derecho a la portabilidad de datos personales?</w:t>
      </w:r>
    </w:p>
    <w:p>
      <w:pPr>
        <w:pStyle w:val="Parraf"/>
      </w:pPr>
    </w:p>
    <w:p>
      <w:pPr>
        <w:pStyle w:val="Parraf"/>
      </w:pPr>
      <w:r>
        <w:t>Este tratamiento de datos personales no se encuentra en formatos estructurados y comúnmente utilizados para su portabilidad, en términos de lo dispuesto en los artículos 51 de la Ley General de Datos que establece los parámetros, y procedimientos para la portabilidad de datos personales.</w:t>
      </w:r>
    </w:p>
    <w:p>
      <w:pPr>
        <w:pStyle w:val="Parraf"/>
      </w:pPr>
    </w:p>
    <w:p>
      <w:pPr>
        <w:pStyle w:val="Titu"/>
      </w:pPr>
      <w:r>
        <w:t>Información adicional</w:t>
      </w:r>
    </w:p>
    <w:p>
      <w:pPr>
        <w:pStyle w:val="Parraf"/>
      </w:pPr>
    </w:p>
    <w:p>
      <w:pPr>
        <w:pStyle w:val="Parraf"/>
      </w:pPr>
      <w:r>
        <w:t>A fin de obtener mayor información respecto al tratamiento de datos personales a cargo de la Unidad de Proyectos de Futbol, se le sugiere establecer comunicación a través del correo electrónico: Unidad de Proyectos de Futbol, o presencialmente, en el domicilio ubicado en siempre viva No. 24, Col. Ciudad Azteca, Ixtapaluca, Estado de México, C.P. 01020, en un horario de lunes a viernes de 9:00 a 18:00 horas.</w:t>
      </w:r>
    </w:p>
    <w:p>
      <w:pPr>
        <w:pStyle w:val="Parraf"/>
      </w:pPr>
    </w:p>
    <w:p>
      <w:pPr>
        <w:pStyle w:val="Parraf"/>
      </w:pPr>
      <w:r>
        <w:t>Se requerirá el consentimiento del padre o tutor, para lo cuál es necesario acreditar la personalidad del mismo.</w:t>
        <w:br/>
        <w:br/>
        <w:br/>
        <w:br/>
        <w:t>Referente a la promoción de becas deportivas, el listado de universidades participantes se encuentra en el anexo C.</w:t>
      </w:r>
    </w:p>
    <w:p>
      <w:pPr>
        <w:pStyle w:val="Parraf"/>
      </w:pPr>
    </w:p>
    <w:p>
      <w:pPr>
        <w:pStyle w:val="Fech"/>
      </w:pPr>
      <w:r>
        <w:rPr>
          <w:b/>
        </w:rPr>
        <w:t xml:space="preserve">Fecha de elaboración: </w:t>
      </w:r>
      <w:r>
        <w:t>14 de octubre de 2026</w:t>
      </w:r>
    </w:p>
    <w:sectPr w:rsidR="00FB108A" w:rsidRPr="008F32B4" w:rsidSect="00583B98">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843" w:left="1701" w:header="708" w:footer="3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971FFD" w14:textId="77777777" w:rsidR="00B5726E" w:rsidRDefault="00B5726E" w:rsidP="00AD1C8F">
      <w:r>
        <w:separator/>
      </w:r>
    </w:p>
  </w:endnote>
  <w:endnote w:type="continuationSeparator" w:id="0">
    <w:p w14:paraId="7C24F956" w14:textId="77777777" w:rsidR="00B5726E" w:rsidRDefault="00B5726E" w:rsidP="00AD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Noto Sans">
    <w:panose1 w:val="020B0502040504020204"/>
    <w:charset w:val="00"/>
    <w:family w:val="swiss"/>
    <w:pitch w:val="variable"/>
    <w:sig w:usb0="E00082FF" w:usb1="400078FF" w:usb2="08000029" w:usb3="00000000" w:csb0="000001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77E5E" w14:textId="77777777" w:rsidR="008F32B4" w:rsidRDefault="008F32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CCCF" w14:textId="27762114" w:rsidR="002072AB" w:rsidRPr="00C217E4" w:rsidRDefault="00B5726E" w:rsidP="00CB7C07">
    <w:pPr>
      <w:pStyle w:val="Piedepgina"/>
      <w:jc w:val="center"/>
      <w:rPr>
        <w:rFonts w:ascii="Arial" w:hAnsi="Arial" w:cs="Arial"/>
        <w:sz w:val="16"/>
        <w:szCs w:val="16"/>
      </w:rPr>
    </w:pPr>
    <w:sdt>
      <w:sdtPr>
        <w:rPr>
          <w:rFonts w:ascii="Arial" w:hAnsi="Arial" w:cs="Arial"/>
          <w:sz w:val="16"/>
          <w:szCs w:val="16"/>
        </w:rPr>
        <w:id w:val="-1679413249"/>
        <w:docPartObj>
          <w:docPartGallery w:val="Page Numbers (Bottom of Page)"/>
          <w:docPartUnique/>
        </w:docPartObj>
      </w:sdtPr>
      <w:sdtEndPr/>
      <w:sdtContent>
        <w:sdt>
          <w:sdtPr>
            <w:rPr>
              <w:rFonts w:ascii="Arial" w:hAnsi="Arial" w:cs="Arial"/>
              <w:sz w:val="16"/>
              <w:szCs w:val="16"/>
            </w:rPr>
            <w:id w:val="-1952778620"/>
            <w:docPartObj>
              <w:docPartGallery w:val="Page Numbers (Top of Page)"/>
              <w:docPartUnique/>
            </w:docPartObj>
          </w:sdtPr>
          <w:sdtEndPr/>
          <w:sdtContent>
            <w:sdt>
              <w:sdtPr>
                <w:rPr>
                  <w:rFonts w:ascii="Arial" w:hAnsi="Arial" w:cs="Arial"/>
                  <w:sz w:val="16"/>
                  <w:szCs w:val="16"/>
                </w:rPr>
                <w:id w:val="1217168978"/>
                <w:docPartObj>
                  <w:docPartGallery w:val="Page Numbers (Bottom of Page)"/>
                  <w:docPartUnique/>
                </w:docPartObj>
              </w:sdtPr>
              <w:sdtEndPr/>
              <w:sdtContent>
                <w:sdt>
                  <w:sdtPr>
                    <w:rPr>
                      <w:rFonts w:ascii="Arial" w:hAnsi="Arial" w:cs="Arial"/>
                      <w:sz w:val="16"/>
                      <w:szCs w:val="16"/>
                    </w:rPr>
                    <w:id w:val="1370425130"/>
                    <w:docPartObj>
                      <w:docPartGallery w:val="Page Numbers (Top of Page)"/>
                      <w:docPartUnique/>
                    </w:docPartObj>
                  </w:sdtPr>
                  <w:sdtEndPr/>
                  <w:sdtContent>
                    <w:r w:rsidR="002072AB" w:rsidRPr="00C217E4">
                      <w:rPr>
                        <w:rFonts w:ascii="Arial" w:hAnsi="Arial" w:cs="Arial"/>
                        <w:sz w:val="16"/>
                        <w:szCs w:val="16"/>
                      </w:rPr>
                      <w:t xml:space="preserve">Página </w:t>
                    </w:r>
                    <w:r w:rsidR="002072AB" w:rsidRPr="00C217E4">
                      <w:rPr>
                        <w:rFonts w:ascii="Arial" w:hAnsi="Arial" w:cs="Arial"/>
                        <w:sz w:val="16"/>
                        <w:szCs w:val="16"/>
                      </w:rPr>
                      <w:fldChar w:fldCharType="begin"/>
                    </w:r>
                    <w:r w:rsidR="002072AB" w:rsidRPr="00C217E4">
                      <w:rPr>
                        <w:rFonts w:ascii="Arial" w:hAnsi="Arial" w:cs="Arial"/>
                        <w:sz w:val="16"/>
                        <w:szCs w:val="16"/>
                      </w:rPr>
                      <w:instrText>PAGE</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r w:rsidR="002072AB" w:rsidRPr="00C217E4">
                      <w:rPr>
                        <w:rFonts w:ascii="Arial" w:hAnsi="Arial" w:cs="Arial"/>
                        <w:sz w:val="16"/>
                        <w:szCs w:val="16"/>
                      </w:rPr>
                      <w:t xml:space="preserve"> de </w:t>
                    </w:r>
                    <w:r w:rsidR="002072AB" w:rsidRPr="00C217E4">
                      <w:rPr>
                        <w:rFonts w:ascii="Arial" w:hAnsi="Arial" w:cs="Arial"/>
                        <w:sz w:val="16"/>
                        <w:szCs w:val="16"/>
                      </w:rPr>
                      <w:fldChar w:fldCharType="begin"/>
                    </w:r>
                    <w:r w:rsidR="002072AB" w:rsidRPr="00C217E4">
                      <w:rPr>
                        <w:rFonts w:ascii="Arial" w:hAnsi="Arial" w:cs="Arial"/>
                        <w:sz w:val="16"/>
                        <w:szCs w:val="16"/>
                      </w:rPr>
                      <w:instrText>NUMPAGES</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sdtContent>
                </w:sdt>
              </w:sdtContent>
            </w:sdt>
            <w:r w:rsidR="002072AB">
              <w:rPr>
                <w:rFonts w:ascii="Arial" w:hAnsi="Arial" w:cs="Arial"/>
                <w:sz w:val="16"/>
                <w:szCs w:val="16"/>
              </w:rPr>
              <w:t xml:space="preserve"> </w:t>
            </w:r>
          </w:sdtContent>
        </w:sdt>
      </w:sdtContent>
    </w:sdt>
  </w:p>
  <w:p w14:paraId="696F1CAE" w14:textId="77777777" w:rsidR="002072AB" w:rsidRDefault="002072AB" w:rsidP="00CB7C07">
    <w:pPr>
      <w:pStyle w:val="Piedepgina"/>
      <w:ind w:left="-1701"/>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54833" w14:textId="77777777" w:rsidR="008F32B4" w:rsidRDefault="008F3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EDC7E8" w14:textId="77777777" w:rsidR="00B5726E" w:rsidRDefault="00B5726E" w:rsidP="00AD1C8F">
      <w:r>
        <w:separator/>
      </w:r>
    </w:p>
  </w:footnote>
  <w:footnote w:type="continuationSeparator" w:id="0">
    <w:p w14:paraId="565CDCB5" w14:textId="77777777" w:rsidR="00B5726E" w:rsidRDefault="00B5726E" w:rsidP="00AD1C8F">
      <w:r>
        <w:continuationSeparator/>
      </w:r>
    </w:p>
  </w:footnote>
  <w:footnote w:id="1">
    <w:p>
      <w:pPr>
        <w:pStyle w:val="Footnot"/>
      </w:pPr>
      <w:r>
        <w:rPr>
          <w:rStyle w:val="FootnoteReference"/>
        </w:rPr>
        <w:footnoteRef/>
      </w:r>
      <w:r>
        <w:t xml:space="preserve"> Requisitos previstos por los artículos 20 y 21, fracción I de la Ley General de Datos.</w:t>
      </w:r>
    </w:p>
  </w:footnote>
  <w:footnote w:id="2">
    <w:p>
      <w:pPr>
        <w:pStyle w:val="Footnot"/>
      </w:pPr>
      <w:r>
        <w:rPr>
          <w:rStyle w:val="FootnoteReference"/>
        </w:rPr>
        <w:footnoteRef/>
      </w:r>
      <w:r>
        <w:t xml:space="preserve"> Requisito previsto por el artículo 21, fracción II de la Ley General de Datos.</w:t>
      </w:r>
    </w:p>
  </w:footnote>
  <w:footnote w:id="3">
    <w:p>
      <w:pPr>
        <w:pStyle w:val="Footnot"/>
      </w:pPr>
      <w:r>
        <w:rPr>
          <w:rStyle w:val="FootnoteReference"/>
        </w:rPr>
        <w:footnoteRef/>
      </w:r>
      <w:r>
        <w:t xml:space="preserve"> Requisito previsto por el artículo 21, fracción III de la Ley General de Datos.</w:t>
      </w:r>
    </w:p>
  </w:footnote>
  <w:footnote w:id="4">
    <w:p>
      <w:pPr>
        <w:pStyle w:val="Footnot"/>
      </w:pPr>
      <w:r>
        <w:rPr>
          <w:rStyle w:val="FootnoteReference"/>
        </w:rPr>
        <w:footnoteRef/>
      </w:r>
      <w:r>
        <w:t xml:space="preserve"> Requisito previsto por el artículo 21, fracción IV de la Ley General de Datos.</w:t>
      </w:r>
    </w:p>
  </w:footnote>
  <w:footnote w:id="5">
    <w:p>
      <w:pPr>
        <w:pStyle w:val="Footnot"/>
      </w:pPr>
      <w:r>
        <w:rPr>
          <w:rStyle w:val="FootnoteReference"/>
        </w:rPr>
        <w:footnoteRef/>
      </w:r>
      <w:r>
        <w:t xml:space="preserve"> Requisito previsto por el artículo 21, fracciones V y VI de la Ley General de Datos.</w:t>
      </w:r>
    </w:p>
  </w:footnote>
  <w:footnote w:id="6">
    <w:p>
      <w:pPr>
        <w:pStyle w:val="Footnot"/>
      </w:pPr>
      <w:r>
        <w:rPr>
          <w:rStyle w:val="FootnoteReference"/>
        </w:rPr>
        <w:footnoteRef/>
      </w:r>
      <w:r>
        <w:t xml:space="preserve"> Requisito previsto por el artículo 21, fracción VII de la Ley General de Datos.</w:t>
      </w:r>
    </w:p>
  </w:footnote>
  <w:footnote w:id="7">
    <w:p>
      <w:pPr>
        <w:pStyle w:val="Footnot"/>
      </w:pPr>
      <w:r>
        <w:rPr>
          <w:rStyle w:val="FootnoteReference"/>
        </w:rPr>
        <w:footnoteRef/>
      </w:r>
      <w:r>
        <w:t xml:space="preserve"> Requisito previsto por el artículo 21, fracción VIII de la Ley General de Datos.</w:t>
      </w:r>
    </w:p>
  </w:footnote>
  <w:footnote w:id="8">
    <w:p>
      <w:pPr>
        <w:pStyle w:val="Footnot"/>
      </w:pPr>
      <w:r>
        <w:rPr>
          <w:rStyle w:val="FootnoteReference"/>
        </w:rPr>
        <w:footnoteRef/>
      </w:r>
      <w:r>
        <w:t xml:space="preserve"> Requisito previsto por el artículo 21, fracción IX y 22, primer párrafo de la Ley General de Datos.</w:t>
      </w:r>
    </w:p>
  </w:footnote>
  <w:footnote w:id="9">
    <w:p>
      <w:pPr>
        <w:pStyle w:val="Footnot"/>
      </w:pPr>
      <w:r>
        <w:rPr>
          <w:rStyle w:val="FootnoteReference"/>
        </w:rPr>
        <w:footnoteRef/>
      </w:r>
      <w:r>
        <w:t xml:space="preserve"> En reconocimiento al derecho establecido en el artículo 51 de la Ley General de Datos, para la obtención de una copia de los datos en formato electrónico estructurado y comúnmente utilizado.</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AE069" w14:textId="77777777" w:rsidR="008F32B4" w:rsidRDefault="008F32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F4EEE" w14:textId="49749FCF" w:rsidR="002072AB" w:rsidRDefault="008F32B4">
    <w:pPr>
      <w:pStyle w:val="Encabezado"/>
    </w:pPr>
    <w:r>
      <w:t>ESPACIO DESIGNADO PARA EL ENCABEZADO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62CC0" w14:textId="77777777" w:rsidR="008F32B4" w:rsidRDefault="008F32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CA4"/>
    <w:multiLevelType w:val="hybridMultilevel"/>
    <w:tmpl w:val="F9A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D49D6"/>
    <w:multiLevelType w:val="hybridMultilevel"/>
    <w:tmpl w:val="C958D6AE"/>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73FED"/>
    <w:multiLevelType w:val="hybridMultilevel"/>
    <w:tmpl w:val="B37073F2"/>
    <w:lvl w:ilvl="0" w:tplc="94006A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B4534"/>
    <w:multiLevelType w:val="hybridMultilevel"/>
    <w:tmpl w:val="3626A3C2"/>
    <w:lvl w:ilvl="0" w:tplc="EAAEC5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6678D"/>
    <w:multiLevelType w:val="hybridMultilevel"/>
    <w:tmpl w:val="BCE6504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CF7513"/>
    <w:multiLevelType w:val="hybridMultilevel"/>
    <w:tmpl w:val="199A8B16"/>
    <w:lvl w:ilvl="0" w:tplc="40D49A82">
      <w:start w:val="1"/>
      <w:numFmt w:val="bullet"/>
      <w:pStyle w:val="Vineta"/>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B6307B"/>
    <w:multiLevelType w:val="hybridMultilevel"/>
    <w:tmpl w:val="20968260"/>
    <w:lvl w:ilvl="0" w:tplc="BEAA057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C11C98"/>
    <w:multiLevelType w:val="hybridMultilevel"/>
    <w:tmpl w:val="6B6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A27D1"/>
    <w:multiLevelType w:val="hybridMultilevel"/>
    <w:tmpl w:val="5A54CDE0"/>
    <w:lvl w:ilvl="0" w:tplc="B30A1B2A">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A0332F"/>
    <w:multiLevelType w:val="hybridMultilevel"/>
    <w:tmpl w:val="DD3E1A8E"/>
    <w:lvl w:ilvl="0" w:tplc="DDDA72C2">
      <w:numFmt w:val="bullet"/>
      <w:lvlText w:val=""/>
      <w:lvlJc w:val="left"/>
      <w:pPr>
        <w:ind w:left="720" w:hanging="360"/>
      </w:pPr>
      <w:rPr>
        <w:rFonts w:ascii="Symbol" w:eastAsia="Times New Roman" w:hAnsi="Symbol" w:cs="Noto San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16A3284"/>
    <w:multiLevelType w:val="hybridMultilevel"/>
    <w:tmpl w:val="943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6107C"/>
    <w:multiLevelType w:val="hybridMultilevel"/>
    <w:tmpl w:val="D67E434E"/>
    <w:lvl w:ilvl="0" w:tplc="B30A1B2A">
      <w:start w:val="2"/>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43ABC"/>
    <w:multiLevelType w:val="hybridMultilevel"/>
    <w:tmpl w:val="D99A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9"/>
  </w:num>
  <w:num w:numId="4">
    <w:abstractNumId w:val="4"/>
  </w:num>
  <w:num w:numId="5">
    <w:abstractNumId w:val="8"/>
  </w:num>
  <w:num w:numId="6">
    <w:abstractNumId w:val="2"/>
  </w:num>
  <w:num w:numId="7">
    <w:abstractNumId w:val="11"/>
  </w:num>
  <w:num w:numId="8">
    <w:abstractNumId w:val="7"/>
  </w:num>
  <w:num w:numId="9">
    <w:abstractNumId w:val="1"/>
  </w:num>
  <w:num w:numId="10">
    <w:abstractNumId w:val="10"/>
  </w:num>
  <w:num w:numId="11">
    <w:abstractNumId w:val="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F"/>
    <w:rsid w:val="00005138"/>
    <w:rsid w:val="0002391E"/>
    <w:rsid w:val="000259BA"/>
    <w:rsid w:val="000714D6"/>
    <w:rsid w:val="00072FC7"/>
    <w:rsid w:val="00095FC1"/>
    <w:rsid w:val="000A3BEA"/>
    <w:rsid w:val="000B4E34"/>
    <w:rsid w:val="000C1693"/>
    <w:rsid w:val="000C1A85"/>
    <w:rsid w:val="000C311F"/>
    <w:rsid w:val="000D51FB"/>
    <w:rsid w:val="000D6E71"/>
    <w:rsid w:val="000E3E9E"/>
    <w:rsid w:val="000E52AB"/>
    <w:rsid w:val="000F6748"/>
    <w:rsid w:val="0012071B"/>
    <w:rsid w:val="001305AC"/>
    <w:rsid w:val="001406B2"/>
    <w:rsid w:val="00147C0E"/>
    <w:rsid w:val="001722CC"/>
    <w:rsid w:val="00192BD8"/>
    <w:rsid w:val="00194221"/>
    <w:rsid w:val="001945A5"/>
    <w:rsid w:val="001A0FBA"/>
    <w:rsid w:val="001A3D2A"/>
    <w:rsid w:val="001B217D"/>
    <w:rsid w:val="001C722D"/>
    <w:rsid w:val="001E0A89"/>
    <w:rsid w:val="001E7475"/>
    <w:rsid w:val="001F12C8"/>
    <w:rsid w:val="00206137"/>
    <w:rsid w:val="002072AB"/>
    <w:rsid w:val="00217C9D"/>
    <w:rsid w:val="002301B3"/>
    <w:rsid w:val="002333A7"/>
    <w:rsid w:val="0025200C"/>
    <w:rsid w:val="002536C1"/>
    <w:rsid w:val="002C3406"/>
    <w:rsid w:val="002D1110"/>
    <w:rsid w:val="002D2BB0"/>
    <w:rsid w:val="002D3404"/>
    <w:rsid w:val="002E212C"/>
    <w:rsid w:val="002F20BE"/>
    <w:rsid w:val="002F4FF5"/>
    <w:rsid w:val="002F508C"/>
    <w:rsid w:val="003069D0"/>
    <w:rsid w:val="00312F7A"/>
    <w:rsid w:val="00320ABE"/>
    <w:rsid w:val="00334838"/>
    <w:rsid w:val="00351AC3"/>
    <w:rsid w:val="00356509"/>
    <w:rsid w:val="00356EC4"/>
    <w:rsid w:val="003601AB"/>
    <w:rsid w:val="00361048"/>
    <w:rsid w:val="00361FE3"/>
    <w:rsid w:val="0037077A"/>
    <w:rsid w:val="00383511"/>
    <w:rsid w:val="00396B08"/>
    <w:rsid w:val="003B0A97"/>
    <w:rsid w:val="003B5E6B"/>
    <w:rsid w:val="003D4FCF"/>
    <w:rsid w:val="003D53AA"/>
    <w:rsid w:val="003F64DC"/>
    <w:rsid w:val="0041542C"/>
    <w:rsid w:val="0043136E"/>
    <w:rsid w:val="0043441F"/>
    <w:rsid w:val="00434C04"/>
    <w:rsid w:val="00436AA4"/>
    <w:rsid w:val="00453158"/>
    <w:rsid w:val="00453A72"/>
    <w:rsid w:val="004618FC"/>
    <w:rsid w:val="00465BBB"/>
    <w:rsid w:val="00480186"/>
    <w:rsid w:val="0049648B"/>
    <w:rsid w:val="004A61C2"/>
    <w:rsid w:val="004B1F0F"/>
    <w:rsid w:val="004B3769"/>
    <w:rsid w:val="004C33A4"/>
    <w:rsid w:val="004D1816"/>
    <w:rsid w:val="004F2D04"/>
    <w:rsid w:val="004F5051"/>
    <w:rsid w:val="0050268B"/>
    <w:rsid w:val="00506A0F"/>
    <w:rsid w:val="00507AAC"/>
    <w:rsid w:val="00520126"/>
    <w:rsid w:val="00535BF1"/>
    <w:rsid w:val="00535F7A"/>
    <w:rsid w:val="00547102"/>
    <w:rsid w:val="00576C41"/>
    <w:rsid w:val="00583B98"/>
    <w:rsid w:val="005921DD"/>
    <w:rsid w:val="005930F8"/>
    <w:rsid w:val="00595DDA"/>
    <w:rsid w:val="005B4AAF"/>
    <w:rsid w:val="005C16CC"/>
    <w:rsid w:val="005C552A"/>
    <w:rsid w:val="005E64EC"/>
    <w:rsid w:val="005F4E32"/>
    <w:rsid w:val="0061387C"/>
    <w:rsid w:val="00613E4E"/>
    <w:rsid w:val="006265D8"/>
    <w:rsid w:val="00632F62"/>
    <w:rsid w:val="00634341"/>
    <w:rsid w:val="00643781"/>
    <w:rsid w:val="00643BF6"/>
    <w:rsid w:val="00647AA0"/>
    <w:rsid w:val="00656F1A"/>
    <w:rsid w:val="00662C2A"/>
    <w:rsid w:val="00680AD7"/>
    <w:rsid w:val="00680F94"/>
    <w:rsid w:val="006B1180"/>
    <w:rsid w:val="006B29B8"/>
    <w:rsid w:val="006C3295"/>
    <w:rsid w:val="006D25F7"/>
    <w:rsid w:val="006D3C23"/>
    <w:rsid w:val="006D5168"/>
    <w:rsid w:val="006D6C18"/>
    <w:rsid w:val="006E0C4C"/>
    <w:rsid w:val="006E62AD"/>
    <w:rsid w:val="006F409A"/>
    <w:rsid w:val="00702D0B"/>
    <w:rsid w:val="00711784"/>
    <w:rsid w:val="007119FA"/>
    <w:rsid w:val="007131AA"/>
    <w:rsid w:val="00715A62"/>
    <w:rsid w:val="00716F89"/>
    <w:rsid w:val="007326D5"/>
    <w:rsid w:val="00734426"/>
    <w:rsid w:val="00742609"/>
    <w:rsid w:val="007435FD"/>
    <w:rsid w:val="00753208"/>
    <w:rsid w:val="00756FFB"/>
    <w:rsid w:val="00762F43"/>
    <w:rsid w:val="00763A7A"/>
    <w:rsid w:val="00771AC5"/>
    <w:rsid w:val="00780C6D"/>
    <w:rsid w:val="00781272"/>
    <w:rsid w:val="00791718"/>
    <w:rsid w:val="007947EE"/>
    <w:rsid w:val="00796914"/>
    <w:rsid w:val="007A2AB5"/>
    <w:rsid w:val="007B3B4D"/>
    <w:rsid w:val="007B53E5"/>
    <w:rsid w:val="007C6BF6"/>
    <w:rsid w:val="007C79E6"/>
    <w:rsid w:val="007E5B2D"/>
    <w:rsid w:val="007E7889"/>
    <w:rsid w:val="007F7422"/>
    <w:rsid w:val="008012E6"/>
    <w:rsid w:val="008116CB"/>
    <w:rsid w:val="00814A13"/>
    <w:rsid w:val="00817592"/>
    <w:rsid w:val="00826BD4"/>
    <w:rsid w:val="00833574"/>
    <w:rsid w:val="0084268F"/>
    <w:rsid w:val="008604BB"/>
    <w:rsid w:val="00863515"/>
    <w:rsid w:val="008705B8"/>
    <w:rsid w:val="00875C02"/>
    <w:rsid w:val="008848DA"/>
    <w:rsid w:val="008955DD"/>
    <w:rsid w:val="008A29F0"/>
    <w:rsid w:val="008C346C"/>
    <w:rsid w:val="008C6062"/>
    <w:rsid w:val="008E3AA4"/>
    <w:rsid w:val="008F32B4"/>
    <w:rsid w:val="00912DC5"/>
    <w:rsid w:val="009165E1"/>
    <w:rsid w:val="009331A4"/>
    <w:rsid w:val="00935372"/>
    <w:rsid w:val="0094583E"/>
    <w:rsid w:val="009619E2"/>
    <w:rsid w:val="00970B08"/>
    <w:rsid w:val="0097225C"/>
    <w:rsid w:val="0099726F"/>
    <w:rsid w:val="009B10E0"/>
    <w:rsid w:val="009C49E3"/>
    <w:rsid w:val="009D5B17"/>
    <w:rsid w:val="009E27F7"/>
    <w:rsid w:val="009E31A2"/>
    <w:rsid w:val="009E776E"/>
    <w:rsid w:val="00A00026"/>
    <w:rsid w:val="00A0082D"/>
    <w:rsid w:val="00A020BD"/>
    <w:rsid w:val="00A17D2E"/>
    <w:rsid w:val="00A26257"/>
    <w:rsid w:val="00A268F5"/>
    <w:rsid w:val="00A30B66"/>
    <w:rsid w:val="00A412F5"/>
    <w:rsid w:val="00A4748B"/>
    <w:rsid w:val="00A47ACB"/>
    <w:rsid w:val="00A63AB7"/>
    <w:rsid w:val="00A71B1B"/>
    <w:rsid w:val="00A72420"/>
    <w:rsid w:val="00A81C7B"/>
    <w:rsid w:val="00A92940"/>
    <w:rsid w:val="00AA04D9"/>
    <w:rsid w:val="00AA0E0B"/>
    <w:rsid w:val="00AA38DA"/>
    <w:rsid w:val="00AC0314"/>
    <w:rsid w:val="00AC36DB"/>
    <w:rsid w:val="00AC46B7"/>
    <w:rsid w:val="00AC737F"/>
    <w:rsid w:val="00AD1C8F"/>
    <w:rsid w:val="00AE372C"/>
    <w:rsid w:val="00AE554F"/>
    <w:rsid w:val="00B06A6C"/>
    <w:rsid w:val="00B10C72"/>
    <w:rsid w:val="00B1217B"/>
    <w:rsid w:val="00B15A15"/>
    <w:rsid w:val="00B174AD"/>
    <w:rsid w:val="00B3549F"/>
    <w:rsid w:val="00B43B9F"/>
    <w:rsid w:val="00B477C6"/>
    <w:rsid w:val="00B511A5"/>
    <w:rsid w:val="00B511C7"/>
    <w:rsid w:val="00B56D8A"/>
    <w:rsid w:val="00B57070"/>
    <w:rsid w:val="00B5726E"/>
    <w:rsid w:val="00B64FC4"/>
    <w:rsid w:val="00B72626"/>
    <w:rsid w:val="00B74FEE"/>
    <w:rsid w:val="00B75696"/>
    <w:rsid w:val="00B75E31"/>
    <w:rsid w:val="00B8223A"/>
    <w:rsid w:val="00B8299E"/>
    <w:rsid w:val="00B86822"/>
    <w:rsid w:val="00BA02CC"/>
    <w:rsid w:val="00BA1A4C"/>
    <w:rsid w:val="00BA2248"/>
    <w:rsid w:val="00BA6E95"/>
    <w:rsid w:val="00BB2D75"/>
    <w:rsid w:val="00BB7CB6"/>
    <w:rsid w:val="00BB7DA3"/>
    <w:rsid w:val="00BC5E6F"/>
    <w:rsid w:val="00BC7FF1"/>
    <w:rsid w:val="00BD4B52"/>
    <w:rsid w:val="00BE6383"/>
    <w:rsid w:val="00C055F3"/>
    <w:rsid w:val="00C2430C"/>
    <w:rsid w:val="00C33AE6"/>
    <w:rsid w:val="00C54C92"/>
    <w:rsid w:val="00C56B87"/>
    <w:rsid w:val="00C74895"/>
    <w:rsid w:val="00C836CF"/>
    <w:rsid w:val="00C92955"/>
    <w:rsid w:val="00C940B4"/>
    <w:rsid w:val="00CB7C07"/>
    <w:rsid w:val="00CC1F19"/>
    <w:rsid w:val="00CD4231"/>
    <w:rsid w:val="00CD4595"/>
    <w:rsid w:val="00CD5850"/>
    <w:rsid w:val="00CE1FB4"/>
    <w:rsid w:val="00CE3FBF"/>
    <w:rsid w:val="00CF2F20"/>
    <w:rsid w:val="00D016CB"/>
    <w:rsid w:val="00D020E2"/>
    <w:rsid w:val="00D0346F"/>
    <w:rsid w:val="00D16AF0"/>
    <w:rsid w:val="00D24C37"/>
    <w:rsid w:val="00D5438A"/>
    <w:rsid w:val="00D57B8D"/>
    <w:rsid w:val="00D623DB"/>
    <w:rsid w:val="00D642EA"/>
    <w:rsid w:val="00D67415"/>
    <w:rsid w:val="00D7295C"/>
    <w:rsid w:val="00D72AC4"/>
    <w:rsid w:val="00D764C6"/>
    <w:rsid w:val="00D85BC9"/>
    <w:rsid w:val="00D920A5"/>
    <w:rsid w:val="00D96C6C"/>
    <w:rsid w:val="00DA08B8"/>
    <w:rsid w:val="00DB03A0"/>
    <w:rsid w:val="00DC463B"/>
    <w:rsid w:val="00DE5FD2"/>
    <w:rsid w:val="00DF108F"/>
    <w:rsid w:val="00DF56E8"/>
    <w:rsid w:val="00E26791"/>
    <w:rsid w:val="00E33D3E"/>
    <w:rsid w:val="00E34B33"/>
    <w:rsid w:val="00E37D65"/>
    <w:rsid w:val="00E426C8"/>
    <w:rsid w:val="00E715DB"/>
    <w:rsid w:val="00E72CFC"/>
    <w:rsid w:val="00E75BC0"/>
    <w:rsid w:val="00E84520"/>
    <w:rsid w:val="00E95C39"/>
    <w:rsid w:val="00EA4B49"/>
    <w:rsid w:val="00EA6AB7"/>
    <w:rsid w:val="00EC2A8B"/>
    <w:rsid w:val="00ED64CB"/>
    <w:rsid w:val="00EE260D"/>
    <w:rsid w:val="00EF0B24"/>
    <w:rsid w:val="00EF13CA"/>
    <w:rsid w:val="00F04467"/>
    <w:rsid w:val="00F118F6"/>
    <w:rsid w:val="00F157D2"/>
    <w:rsid w:val="00F15A87"/>
    <w:rsid w:val="00F26277"/>
    <w:rsid w:val="00F31A06"/>
    <w:rsid w:val="00F321FB"/>
    <w:rsid w:val="00F345ED"/>
    <w:rsid w:val="00F37DA9"/>
    <w:rsid w:val="00F436EC"/>
    <w:rsid w:val="00F44618"/>
    <w:rsid w:val="00F450FD"/>
    <w:rsid w:val="00F62F42"/>
    <w:rsid w:val="00F636EA"/>
    <w:rsid w:val="00F662BB"/>
    <w:rsid w:val="00F67CA8"/>
    <w:rsid w:val="00F710EC"/>
    <w:rsid w:val="00F764E8"/>
    <w:rsid w:val="00F80C18"/>
    <w:rsid w:val="00F932FF"/>
    <w:rsid w:val="00FB108A"/>
    <w:rsid w:val="00FB6493"/>
    <w:rsid w:val="00FD497F"/>
    <w:rsid w:val="00FE402C"/>
    <w:rsid w:val="00FF42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272A"/>
  <w15:chartTrackingRefBased/>
  <w15:docId w15:val="{F0FD0C28-A16D-4630-B6E5-081B9B9E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C8F"/>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EncabezadoCar">
    <w:name w:val="Encabezado Car"/>
    <w:basedOn w:val="Fuentedeprrafopredeter"/>
    <w:link w:val="Encabezado"/>
    <w:uiPriority w:val="99"/>
    <w:rsid w:val="00AD1C8F"/>
    <w:rPr>
      <w:rFonts w:ascii="Calibri" w:eastAsiaTheme="minorEastAsia" w:hAnsi="Calibri" w:cs="Calibri"/>
      <w:sz w:val="24"/>
      <w:szCs w:val="24"/>
      <w:lang w:val="es-ES" w:eastAsia="es-ES"/>
    </w:rPr>
  </w:style>
  <w:style w:type="paragraph" w:styleId="Piedepgina">
    <w:name w:val="footer"/>
    <w:basedOn w:val="Normal"/>
    <w:link w:val="Piedepgina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PiedepginaCar">
    <w:name w:val="Pie de página Car"/>
    <w:basedOn w:val="Fuentedeprrafopredeter"/>
    <w:link w:val="Piedepgina"/>
    <w:uiPriority w:val="99"/>
    <w:rsid w:val="00AD1C8F"/>
    <w:rPr>
      <w:rFonts w:ascii="Calibri" w:eastAsiaTheme="minorEastAsia" w:hAnsi="Calibri" w:cs="Calibri"/>
      <w:sz w:val="24"/>
      <w:szCs w:val="24"/>
      <w:lang w:val="es-ES" w:eastAsia="es-ES"/>
    </w:rPr>
  </w:style>
  <w:style w:type="character" w:styleId="Hipervnculo">
    <w:name w:val="Hyperlink"/>
    <w:aliases w:val="Hipervínculo1,Hipervínculo11,Hipervínculo12,Hipervínculo13,Hipervínculo14,Hipervínculo15"/>
    <w:basedOn w:val="Fuentedeprrafopredeter"/>
    <w:uiPriority w:val="99"/>
    <w:unhideWhenUsed/>
    <w:qFormat/>
    <w:rsid w:val="00AD1C8F"/>
    <w:rPr>
      <w:color w:val="0563C1" w:themeColor="hyperlink"/>
      <w:u w:val="single"/>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FA Fu?notente,Ca1"/>
    <w:basedOn w:val="Normal"/>
    <w:link w:val="TextonotapieCar"/>
    <w:uiPriority w:val="99"/>
    <w:unhideWhenUsed/>
    <w:qFormat/>
    <w:rsid w:val="00AD1C8F"/>
    <w:rPr>
      <w:rFonts w:ascii="Century Gothic" w:eastAsia="Batang" w:hAnsi="Century Gothic"/>
      <w:sz w:val="20"/>
      <w:szCs w:val="20"/>
      <w:lang w:val="es-ES"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qFormat/>
    <w:rsid w:val="00AD1C8F"/>
    <w:rPr>
      <w:rFonts w:ascii="Century Gothic" w:eastAsia="Batang" w:hAnsi="Century Gothic" w:cs="Times New Roman"/>
      <w:sz w:val="20"/>
      <w:szCs w:val="20"/>
      <w:lang w:val="es-ES" w:eastAsia="es-ES"/>
    </w:rPr>
  </w:style>
  <w:style w:type="character" w:styleId="Refdenotaalpie">
    <w:name w:val="footnote reference"/>
    <w:aliases w:val="Footnotes refss,Texto de nota al pie,Appel note de bas de page,Footnote number,referencia nota al pie,BVI fnr,4_G,16 Point,Superscript 6 Point,Texto nota al pie,f,Ref. de nota al pie 2,Footnote Reference Char3,Footnote Reference,Ref"/>
    <w:basedOn w:val="Fuentedeprrafopredeter"/>
    <w:link w:val="4GChar"/>
    <w:uiPriority w:val="99"/>
    <w:unhideWhenUsed/>
    <w:qFormat/>
    <w:rsid w:val="00AD1C8F"/>
    <w:rPr>
      <w:vertAlign w:val="superscript"/>
    </w:rPr>
  </w:style>
  <w:style w:type="paragraph" w:customStyle="1" w:styleId="Default">
    <w:name w:val="Default"/>
    <w:link w:val="DefaultCar"/>
    <w:qFormat/>
    <w:rsid w:val="00AD1C8F"/>
    <w:pPr>
      <w:autoSpaceDE w:val="0"/>
      <w:autoSpaceDN w:val="0"/>
      <w:adjustRightInd w:val="0"/>
      <w:spacing w:after="0" w:line="240" w:lineRule="auto"/>
    </w:pPr>
    <w:rPr>
      <w:rFonts w:ascii="Arial" w:hAnsi="Arial" w:cs="Arial"/>
      <w:color w:val="000000"/>
      <w:sz w:val="24"/>
      <w:szCs w:val="24"/>
    </w:rPr>
  </w:style>
  <w:style w:type="character" w:customStyle="1" w:styleId="DefaultCar">
    <w:name w:val="Default Car"/>
    <w:link w:val="Default"/>
    <w:rsid w:val="00AD1C8F"/>
    <w:rPr>
      <w:rFonts w:ascii="Arial" w:hAnsi="Arial" w:cs="Arial"/>
      <w:color w:val="000000"/>
      <w:sz w:val="24"/>
      <w:szCs w:val="24"/>
    </w:rPr>
  </w:style>
  <w:style w:type="paragraph" w:styleId="Prrafodelista">
    <w:name w:val="List Paragraph"/>
    <w:aliases w:val="4 Párrafo de lista,Figuras,Dot pt,No Spacing1,List Paragraph Char Char Char,Indicator Text,List Paragraph1,Numbered Para 1,DH1,Listas,lp1,Light Grid - Accent 31,Footnote,F5 List Paragraph,Colorful List - Accent 11,Bullet 1,Bullet Points"/>
    <w:basedOn w:val="Normal"/>
    <w:link w:val="PrrafodelistaCar"/>
    <w:uiPriority w:val="34"/>
    <w:qFormat/>
    <w:rsid w:val="00AD1C8F"/>
    <w:pPr>
      <w:ind w:left="720"/>
      <w:contextualSpacing/>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63515"/>
    <w:pPr>
      <w:jc w:val="both"/>
    </w:pPr>
    <w:rPr>
      <w:rFonts w:asciiTheme="minorHAnsi" w:eastAsiaTheme="minorHAnsi" w:hAnsiTheme="minorHAnsi" w:cstheme="minorBidi"/>
      <w:sz w:val="22"/>
      <w:szCs w:val="22"/>
      <w:vertAlign w:val="superscript"/>
      <w:lang w:eastAsia="en-US"/>
    </w:rPr>
  </w:style>
  <w:style w:type="character" w:customStyle="1" w:styleId="PrrafodelistaCar">
    <w:name w:val="Párrafo de lista Car"/>
    <w:aliases w:val="4 Párrafo de lista Car,Figuras Car,Dot pt Car,No Spacing1 Car,List Paragraph Char Char Char Car,Indicator Text Car,List Paragraph1 Car,Numbered Para 1 Car,DH1 Car,Listas Car,lp1 Car,Light Grid - Accent 31 Car,Footnote Car"/>
    <w:basedOn w:val="Fuentedeprrafopredeter"/>
    <w:link w:val="Prrafodelista"/>
    <w:uiPriority w:val="34"/>
    <w:qFormat/>
    <w:locked/>
    <w:rsid w:val="00863515"/>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863515"/>
    <w:rPr>
      <w:sz w:val="16"/>
      <w:szCs w:val="16"/>
    </w:rPr>
  </w:style>
  <w:style w:type="paragraph" w:styleId="Textocomentario">
    <w:name w:val="annotation text"/>
    <w:basedOn w:val="Normal"/>
    <w:link w:val="TextocomentarioCar"/>
    <w:uiPriority w:val="99"/>
    <w:semiHidden/>
    <w:unhideWhenUsed/>
    <w:rsid w:val="00863515"/>
    <w:rPr>
      <w:sz w:val="20"/>
      <w:szCs w:val="20"/>
    </w:rPr>
  </w:style>
  <w:style w:type="character" w:customStyle="1" w:styleId="TextocomentarioCar">
    <w:name w:val="Texto comentario Car"/>
    <w:basedOn w:val="Fuentedeprrafopredeter"/>
    <w:link w:val="Textocomentario"/>
    <w:uiPriority w:val="99"/>
    <w:semiHidden/>
    <w:rsid w:val="00863515"/>
    <w:rPr>
      <w:rFonts w:ascii="Times New Roman" w:eastAsia="Times New Roman" w:hAnsi="Times New Roman" w:cs="Times New Roman"/>
      <w:sz w:val="20"/>
      <w:szCs w:val="20"/>
      <w:lang w:eastAsia="es-MX"/>
    </w:rPr>
  </w:style>
  <w:style w:type="paragraph" w:styleId="Textodeglobo">
    <w:name w:val="Balloon Text"/>
    <w:basedOn w:val="Normal"/>
    <w:link w:val="TextodegloboCar"/>
    <w:uiPriority w:val="99"/>
    <w:semiHidden/>
    <w:unhideWhenUsed/>
    <w:rsid w:val="0086351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3515"/>
    <w:rPr>
      <w:rFonts w:ascii="Segoe UI" w:eastAsia="Times New Roman" w:hAnsi="Segoe UI" w:cs="Segoe UI"/>
      <w:sz w:val="18"/>
      <w:szCs w:val="18"/>
      <w:lang w:eastAsia="es-MX"/>
    </w:rPr>
  </w:style>
  <w:style w:type="table" w:styleId="Tablaconcuadrcula">
    <w:name w:val="Table Grid"/>
    <w:basedOn w:val="Tablanormal"/>
    <w:uiPriority w:val="59"/>
    <w:rsid w:val="00B477C6"/>
    <w:pPr>
      <w:spacing w:after="0" w:afterAutospacing="1" w:line="240" w:lineRule="auto"/>
      <w:ind w:left="567" w:right="567"/>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F44618"/>
    <w:rPr>
      <w:b/>
      <w:bCs/>
    </w:rPr>
  </w:style>
  <w:style w:type="character" w:customStyle="1" w:styleId="AsuntodelcomentarioCar">
    <w:name w:val="Asunto del comentario Car"/>
    <w:basedOn w:val="TextocomentarioCar"/>
    <w:link w:val="Asuntodelcomentario"/>
    <w:uiPriority w:val="99"/>
    <w:semiHidden/>
    <w:rsid w:val="00F44618"/>
    <w:rPr>
      <w:rFonts w:ascii="Times New Roman" w:eastAsia="Times New Roman" w:hAnsi="Times New Roman" w:cs="Times New Roman"/>
      <w:b/>
      <w:bCs/>
      <w:sz w:val="20"/>
      <w:szCs w:val="20"/>
      <w:lang w:eastAsia="es-MX"/>
    </w:rPr>
  </w:style>
  <w:style w:type="character" w:styleId="Textoennegrita">
    <w:name w:val="Strong"/>
    <w:uiPriority w:val="22"/>
    <w:qFormat/>
    <w:rsid w:val="00EC2A8B"/>
    <w:rPr>
      <w:b/>
      <w:bCs/>
    </w:rPr>
  </w:style>
  <w:style w:type="paragraph" w:customStyle="1" w:styleId="Parraf">
    <w:name w:val="Parraf"/>
    <w:basedOn w:val="Normal"/>
    <w:link w:val="ParrafCar"/>
    <w:qFormat/>
    <w:rsid w:val="003D53AA"/>
    <w:pPr>
      <w:tabs>
        <w:tab w:val="left" w:pos="1660"/>
      </w:tabs>
      <w:jc w:val="both"/>
    </w:pPr>
    <w:rPr>
      <w:rFonts w:ascii="Noto Sans" w:hAnsi="Noto Sans" w:cs="Noto Sans"/>
      <w:sz w:val="20"/>
    </w:rPr>
  </w:style>
  <w:style w:type="character" w:customStyle="1" w:styleId="ParrafCar">
    <w:name w:val="Parraf Car"/>
    <w:basedOn w:val="Fuentedeprrafopredeter"/>
    <w:link w:val="Parraf"/>
    <w:rsid w:val="003D53AA"/>
    <w:rPr>
      <w:rFonts w:ascii="Noto Sans" w:eastAsia="Times New Roman" w:hAnsi="Noto Sans" w:cs="Noto Sans"/>
      <w:sz w:val="20"/>
      <w:szCs w:val="24"/>
      <w:lang w:eastAsia="es-MX"/>
    </w:rPr>
  </w:style>
  <w:style w:type="paragraph" w:customStyle="1" w:styleId="Titu">
    <w:name w:val="Titu"/>
    <w:basedOn w:val="Normal"/>
    <w:link w:val="TituCar"/>
    <w:qFormat/>
    <w:rsid w:val="00095FC1"/>
    <w:pPr>
      <w:jc w:val="both"/>
    </w:pPr>
    <w:rPr>
      <w:rFonts w:ascii="Noto Sans" w:hAnsi="Noto Sans" w:cs="Noto Sans"/>
      <w:b/>
      <w:bCs/>
      <w:sz w:val="22"/>
      <w:szCs w:val="22"/>
    </w:rPr>
  </w:style>
  <w:style w:type="character" w:customStyle="1" w:styleId="TituCar">
    <w:name w:val="Titu Car"/>
    <w:basedOn w:val="Fuentedeprrafopredeter"/>
    <w:link w:val="Titu"/>
    <w:rsid w:val="00095FC1"/>
    <w:rPr>
      <w:rFonts w:ascii="Noto Sans" w:eastAsia="Times New Roman" w:hAnsi="Noto Sans" w:cs="Noto Sans"/>
      <w:b/>
      <w:bCs/>
      <w:lang w:eastAsia="es-MX"/>
    </w:rPr>
  </w:style>
  <w:style w:type="paragraph" w:customStyle="1" w:styleId="Fech">
    <w:name w:val="Fech"/>
    <w:basedOn w:val="Normal"/>
    <w:link w:val="FechCar"/>
    <w:qFormat/>
    <w:rsid w:val="008E3AA4"/>
    <w:pPr>
      <w:ind w:left="705" w:right="49" w:hanging="705"/>
      <w:jc w:val="right"/>
    </w:pPr>
    <w:rPr>
      <w:rFonts w:ascii="Noto Sans" w:hAnsi="Noto Sans" w:cs="Noto Sans"/>
      <w:bCs/>
      <w:sz w:val="20"/>
      <w:szCs w:val="20"/>
      <w:lang w:eastAsia="en-US"/>
    </w:rPr>
  </w:style>
  <w:style w:type="character" w:customStyle="1" w:styleId="FechCar">
    <w:name w:val="Fech Car"/>
    <w:basedOn w:val="Fuentedeprrafopredeter"/>
    <w:link w:val="Fech"/>
    <w:rsid w:val="008E3AA4"/>
    <w:rPr>
      <w:rFonts w:ascii="Noto Sans" w:eastAsia="Times New Roman" w:hAnsi="Noto Sans" w:cs="Noto Sans"/>
      <w:bCs/>
      <w:sz w:val="20"/>
      <w:szCs w:val="20"/>
    </w:rPr>
  </w:style>
  <w:style w:type="paragraph" w:customStyle="1" w:styleId="Vineta">
    <w:name w:val="Vineta"/>
    <w:basedOn w:val="Prrafodelista"/>
    <w:link w:val="VinetaCar"/>
    <w:qFormat/>
    <w:rsid w:val="002536C1"/>
    <w:pPr>
      <w:numPr>
        <w:numId w:val="12"/>
      </w:numPr>
      <w:jc w:val="both"/>
    </w:pPr>
    <w:rPr>
      <w:rFonts w:ascii="Noto Sans" w:hAnsi="Noto Sans" w:cs="Noto Sans"/>
      <w:sz w:val="20"/>
      <w:szCs w:val="20"/>
    </w:rPr>
  </w:style>
  <w:style w:type="character" w:customStyle="1" w:styleId="VinetaCar">
    <w:name w:val="Vineta Car"/>
    <w:basedOn w:val="PrrafodelistaCar"/>
    <w:link w:val="Vineta"/>
    <w:rsid w:val="002536C1"/>
    <w:rPr>
      <w:rFonts w:ascii="Noto Sans" w:eastAsia="Times New Roman" w:hAnsi="Noto Sans" w:cs="Noto Sans"/>
      <w:sz w:val="20"/>
      <w:szCs w:val="20"/>
      <w:lang w:eastAsia="es-MX"/>
    </w:rPr>
  </w:style>
  <w:style w:type="paragraph" w:customStyle="1" w:styleId="Footnot">
    <w:name w:val="Footnot"/>
    <w:basedOn w:val="Textonotapie"/>
    <w:link w:val="FootnotCar"/>
    <w:qFormat/>
    <w:rsid w:val="0002391E"/>
    <w:pPr>
      <w:jc w:val="both"/>
    </w:pPr>
    <w:rPr>
      <w:rFonts w:ascii="Noto Sans" w:hAnsi="Noto Sans" w:cs="Noto Sans"/>
      <w:sz w:val="16"/>
      <w:szCs w:val="16"/>
    </w:rPr>
  </w:style>
  <w:style w:type="character" w:customStyle="1" w:styleId="FootnotCar">
    <w:name w:val="Footnot Car"/>
    <w:basedOn w:val="TextonotapieCar"/>
    <w:link w:val="Footnot"/>
    <w:rsid w:val="0002391E"/>
    <w:rPr>
      <w:rFonts w:ascii="Noto Sans" w:eastAsia="Batang" w:hAnsi="Noto Sans" w:cs="Noto Sans"/>
      <w:sz w:val="16"/>
      <w:szCs w:val="16"/>
      <w:lang w:val="es-ES" w:eastAsia="es-ES"/>
    </w:rPr>
  </w:style>
  <w:style w:type="paragraph" w:customStyle="1" w:styleId="superTit">
    <w:name w:val="superTit"/>
    <w:basedOn w:val="Normal"/>
    <w:link w:val="superTitCar"/>
    <w:qFormat/>
    <w:rsid w:val="002E212C"/>
    <w:pPr>
      <w:jc w:val="center"/>
    </w:pPr>
    <w:rPr>
      <w:rFonts w:ascii="Noto Sans" w:hAnsi="Noto Sans" w:cs="Noto Sans"/>
      <w:b/>
      <w:bCs/>
      <w:sz w:val="22"/>
      <w:szCs w:val="22"/>
    </w:rPr>
  </w:style>
  <w:style w:type="character" w:customStyle="1" w:styleId="superTitCar">
    <w:name w:val="superTit Car"/>
    <w:basedOn w:val="Fuentedeprrafopredeter"/>
    <w:link w:val="superTit"/>
    <w:rsid w:val="002E212C"/>
    <w:rPr>
      <w:rFonts w:ascii="Noto Sans" w:eastAsia="Times New Roman" w:hAnsi="Noto Sans" w:cs="Noto Sans"/>
      <w:b/>
      <w:bCs/>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299345">
      <w:bodyDiv w:val="1"/>
      <w:marLeft w:val="0"/>
      <w:marRight w:val="0"/>
      <w:marTop w:val="0"/>
      <w:marBottom w:val="0"/>
      <w:divBdr>
        <w:top w:val="none" w:sz="0" w:space="0" w:color="auto"/>
        <w:left w:val="none" w:sz="0" w:space="0" w:color="auto"/>
        <w:bottom w:val="none" w:sz="0" w:space="0" w:color="auto"/>
        <w:right w:val="none" w:sz="0" w:space="0" w:color="auto"/>
      </w:divBdr>
      <w:divsChild>
        <w:div w:id="1109204086">
          <w:marLeft w:val="0"/>
          <w:marRight w:val="0"/>
          <w:marTop w:val="0"/>
          <w:marBottom w:val="0"/>
          <w:divBdr>
            <w:top w:val="none" w:sz="0" w:space="0" w:color="auto"/>
            <w:left w:val="none" w:sz="0" w:space="0" w:color="auto"/>
            <w:bottom w:val="none" w:sz="0" w:space="0" w:color="auto"/>
            <w:right w:val="none" w:sz="0" w:space="0" w:color="auto"/>
          </w:divBdr>
          <w:divsChild>
            <w:div w:id="17441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yperlink" Target="https://fut.cultura.mx/aviso-pri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BB02B-DD28-4305-9CD7-A37D15056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BZN</dc:creator>
  <cp:keywords/>
  <dc:description/>
  <cp:lastModifiedBy>Diana Campos Rodríguez</cp:lastModifiedBy>
  <cp:revision>22</cp:revision>
  <cp:lastPrinted>2026-05-28T16:48:00Z</cp:lastPrinted>
  <dcterms:created xsi:type="dcterms:W3CDTF">2026-08-14T23:54:00Z</dcterms:created>
  <dcterms:modified xsi:type="dcterms:W3CDTF">2026-09-02T18:30:00Z</dcterms:modified>
</cp:coreProperties>
</file>