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SIMPLIFICADO</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Finalidades del tratamiento para las cuales se obtienen los datos personales distinguiendo aquellas que requieren el consentimiento de la persona titular</w:t>
      </w:r>
      <w:r>
        <w:rPr>
          <w:rStyle w:val="Footnot"/>
          <w:vertAlign w:val="superscript"/>
        </w:rPr>
        <w:footnoteReference w:id="2"/>
      </w:r>
      <w:r>
        <w:t xml:space="preserve"> /¿Cuáles son las finalidades del tratamiento?</w:t>
      </w:r>
    </w:p>
    <w:p>
      <w:pPr>
        <w:pStyle w:val="Parraf"/>
      </w:pPr>
    </w:p>
    <w:p>
      <w:pPr>
        <w:pStyle w:val="Parraf"/>
      </w:pPr>
      <w:r>
        <w:t>Los datos personales recabados, serán utilizados para las siguientes finalidades:</w:t>
      </w:r>
    </w:p>
    <w:p>
      <w:pPr>
        <w:pStyle w:val="Parraf"/>
      </w:pPr>
    </w:p>
    <w:p>
      <w:pPr>
        <w:pStyle w:val="Vineta"/>
      </w:pPr>
      <w:r>
        <w:t>Realizar reuniones recreativas</w:t>
      </w:r>
    </w:p>
    <w:p>
      <w:pPr>
        <w:pStyle w:val="Parraf"/>
      </w:pPr>
    </w:p>
    <w:p>
      <w:pPr>
        <w:pStyle w:val="Vineta"/>
      </w:pPr>
      <w:r>
        <w:t>conformar equipos de futbol por alcaldías</w:t>
      </w:r>
    </w:p>
    <w:p>
      <w:pPr>
        <w:pStyle w:val="Parraf"/>
      </w:pPr>
    </w:p>
    <w:p>
      <w:pPr>
        <w:pStyle w:val="Vineta"/>
      </w:pPr>
      <w:r>
        <w:t>Promoción de profesionalización</w:t>
      </w:r>
    </w:p>
    <w:p>
      <w:pPr>
        <w:pStyle w:val="Parraf"/>
      </w:pPr>
    </w:p>
    <w:p>
      <w:pPr>
        <w:pStyle w:val="Vineta"/>
      </w:pPr>
      <w:r>
        <w:t>Promoción para beca deportiva</w:t>
      </w:r>
    </w:p>
    <w:p>
      <w:pPr>
        <w:pStyle w:val="Parraf"/>
      </w:pPr>
    </w:p>
    <w:p>
      <w:pPr>
        <w:pStyle w:val="Parraf"/>
      </w:pPr>
    </w:p>
    <w:p>
      <w:pPr>
        <w:pStyle w:val="Titu"/>
      </w:pPr>
      <w:r>
        <w:br/>
        <w:t>III. Transferencias de datos personales</w:t>
      </w:r>
      <w:r>
        <w:rPr>
          <w:rStyle w:val="Footnot"/>
          <w:vertAlign w:val="superscript"/>
        </w:rPr>
        <w:footnoteReference w:id="3"/>
      </w:r>
      <w:r>
        <w:t xml:space="preserve"> /¿A quién se transfieren los datos personales?</w:t>
      </w:r>
    </w:p>
    <w:tbl>
      <w:tblPr>
        <w:tblW w:type="auto" w:w="0"/>
        <w:tblLook w:firstColumn="1" w:firstRow="1" w:lastColumn="0" w:lastRow="0" w:noHBand="0" w:noVBand="1" w:val="04A0"/>
      </w:tblPr>
      <w:tblGrid>
        <w:gridCol w:w="2946"/>
        <w:gridCol w:w="2946"/>
        <w:gridCol w:w="2946"/>
      </w:tblGrid>
      <w:tr>
        <w:tc>
          <w:tcPr>
            <w:tcW w:type="dxa" w:w="2946"/>
          </w:tcPr>
          <w:p>
            <w:r>
              <w:t>Destinatario</w:t>
            </w:r>
          </w:p>
        </w:tc>
        <w:tc>
          <w:tcPr>
            <w:tcW w:type="dxa" w:w="2946"/>
          </w:tcPr>
          <w:p>
            <w:r>
              <w:t>Finalidad</w:t>
            </w:r>
          </w:p>
        </w:tc>
        <w:tc>
          <w:tcPr>
            <w:tcW w:type="dxa" w:w="2946"/>
          </w:tcPr>
          <w:p>
            <w:r>
              <w:t>consentimiento</w:t>
            </w:r>
          </w:p>
        </w:tc>
      </w:tr>
      <w:tr>
        <w:tc>
          <w:tcPr>
            <w:tcW w:type="dxa" w:w="2946"/>
          </w:tcPr>
          <w:p>
            <w:r>
              <w:t>FEMEXFUT</w:t>
            </w:r>
          </w:p>
        </w:tc>
        <w:tc>
          <w:tcPr>
            <w:tcW w:type="dxa" w:w="2946"/>
          </w:tcPr>
          <w:p>
            <w:r>
              <w:t>¿Da su consentimiento? [  ]</w:t>
            </w:r>
          </w:p>
        </w:tc>
        <w:tc>
          <w:tcPr>
            <w:tcW w:type="dxa" w:w="2946"/>
          </w:tcPr>
          <w:p/>
        </w:tc>
      </w:tr>
    </w:tbl>
    <w:p>
      <w:pPr>
        <w:pStyle w:val="Parraf"/>
      </w:pPr>
    </w:p>
    <w:p>
      <w:pPr>
        <w:pStyle w:val="Titu"/>
      </w:pPr>
      <w:r>
        <w:t>IV. Mecanismos y medios disponibles para que la persona titular pueda manifestar su negativa para el tratamiento de sus datos personales</w:t>
      </w:r>
      <w:r>
        <w:rPr>
          <w:rStyle w:val="Footnot"/>
          <w:vertAlign w:val="superscript"/>
        </w:rPr>
        <w:footnoteReference w:id="4"/>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V. Lugar para conocer el Aviso de Privacidad Integral.</w:t>
      </w:r>
      <w:r>
        <w:rPr>
          <w:rStyle w:val="Footnot"/>
          <w:vertAlign w:val="superscript"/>
        </w:rPr>
        <w:footnoteReference w:id="5"/>
      </w:r>
      <w:r>
        <w:t xml:space="preserve"> /¿En dónde se puede conocer el aviso de privacidad integral?</w:t>
      </w:r>
    </w:p>
    <w:p>
      <w:pPr>
        <w:pStyle w:val="Parraf"/>
      </w:pPr>
    </w:p>
    <w:p>
      <w:pPr>
        <w:pStyle w:val="Parraf"/>
      </w:pPr>
      <w:r>
        <w:t>Se entiende que el aviso de privacidad integral es puesto a disposición de las personas titulares de manera permanente, en las instalaciones de la CNCFD, cuya ubicación ha quedado señalada en el primer apartado de este documento.</w:t>
      </w:r>
    </w:p>
    <w:p>
      <w:pPr>
        <w:pStyle w:val="Parraf"/>
      </w:pPr>
    </w:p>
    <w:p>
      <w:pPr>
        <w:pStyle w:val="Parraf"/>
      </w:pPr>
      <w:r>
        <w:t xml:space="preserve">La versión actualizada y vigente del aviso de privacidad integral, se podrá conocer a través de: </w:t>
      </w:r>
      <w:hyperlink r:id="rId16">
        <w:r>
          <w:rPr>
            <w:color w:val="0000FF"/>
            <w:u w:val="single"/>
          </w:rPr>
          <w:t>https://fut.cultura.mx/aviso-priv</w:t>
        </w:r>
      </w:hyperlink>
      <w:r>
        <w:t>.</w:t>
      </w:r>
    </w:p>
    <w:p>
      <w:pPr>
        <w:pStyle w:val="Parraf"/>
      </w:pPr>
    </w:p>
    <w:p>
      <w:pPr>
        <w:pStyle w:val="Fech"/>
      </w:pPr>
      <w:r>
        <w:rPr>
          <w:b/>
        </w:rPr>
        <w:t xml:space="preserve">Fecha de elaboración: </w:t>
      </w:r>
      <w:r>
        <w:t>14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71FFD" w14:textId="77777777" w:rsidR="00B5726E" w:rsidRDefault="00B5726E" w:rsidP="00AD1C8F">
      <w:r>
        <w:separator/>
      </w:r>
    </w:p>
  </w:endnote>
  <w:endnote w:type="continuationSeparator" w:id="0">
    <w:p w14:paraId="7C24F956" w14:textId="77777777" w:rsidR="00B5726E" w:rsidRDefault="00B5726E"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27762114" w:rsidR="002072AB" w:rsidRPr="00C217E4" w:rsidRDefault="00B5726E"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EDC7E8" w14:textId="77777777" w:rsidR="00B5726E" w:rsidRDefault="00B5726E" w:rsidP="00AD1C8F">
      <w:r>
        <w:separator/>
      </w:r>
    </w:p>
  </w:footnote>
  <w:footnote w:type="continuationSeparator" w:id="0">
    <w:p w14:paraId="565CDCB5" w14:textId="77777777" w:rsidR="00B5726E" w:rsidRDefault="00B5726E"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IV de la Ley General de Datos.</w:t>
      </w:r>
    </w:p>
  </w:footnote>
  <w:footnote w:id="3">
    <w:p>
      <w:pPr>
        <w:pStyle w:val="Footnot"/>
      </w:pPr>
      <w:r>
        <w:rPr>
          <w:rStyle w:val="FootnoteReference"/>
        </w:rPr>
        <w:footnoteRef/>
      </w:r>
      <w:r>
        <w:t xml:space="preserve"> Requisito previsto por el artículo 21, fracción VII de la Ley General de Datos.</w:t>
      </w:r>
    </w:p>
  </w:footnote>
  <w:footnote w:id="4">
    <w:p>
      <w:pPr>
        <w:pStyle w:val="Footnot"/>
      </w:pPr>
      <w:r>
        <w:rPr>
          <w:rStyle w:val="FootnoteReference"/>
        </w:rPr>
        <w:footnoteRef/>
      </w:r>
      <w:r>
        <w:t xml:space="preserve"> Requisito previsto por el artículo 21, fracción VIII de la Ley General de Datos.</w:t>
      </w:r>
    </w:p>
  </w:footnote>
  <w:footnote w:id="5">
    <w:p>
      <w:pPr>
        <w:pStyle w:val="Footnot"/>
      </w:pPr>
      <w:r>
        <w:rPr>
          <w:rStyle w:val="FootnoteReference"/>
        </w:rPr>
        <w:footnoteRef/>
      </w:r>
      <w:r>
        <w:t xml:space="preserve"> Requisito previsto por el artículo 21, fracción IX y 22, primer párrafo de la Ley General de Datos.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6509"/>
    <w:rsid w:val="00356EC4"/>
    <w:rsid w:val="003601AB"/>
    <w:rsid w:val="00361048"/>
    <w:rsid w:val="00361FE3"/>
    <w:rsid w:val="0037077A"/>
    <w:rsid w:val="00383511"/>
    <w:rsid w:val="00396B08"/>
    <w:rsid w:val="003B0A97"/>
    <w:rsid w:val="003B5E6B"/>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BB02B-DD28-4305-9CD7-A37D15056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22</cp:revision>
  <cp:lastPrinted>2026-05-28T16:48:00Z</cp:lastPrinted>
  <dcterms:created xsi:type="dcterms:W3CDTF">2026-08-14T23:54:00Z</dcterms:created>
  <dcterms:modified xsi:type="dcterms:W3CDTF">2026-09-02T18:30:00Z</dcterms:modified>
</cp:coreProperties>
</file>