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E6AD7" w14:textId="77777777" w:rsidR="006F66A1" w:rsidRPr="000B6498" w:rsidRDefault="006F66A1" w:rsidP="006F66A1">
      <w:pPr>
        <w:jc w:val="center"/>
        <w:rPr>
          <w:rFonts w:ascii="Times New Roman" w:hAnsi="Times New Roman" w:cs="Times New Roman"/>
          <w:lang w:val="pt-BR"/>
        </w:rPr>
      </w:pPr>
      <w:r w:rsidRPr="000B6498">
        <w:rPr>
          <w:rFonts w:ascii="Times New Roman" w:hAnsi="Times New Roman" w:cs="Times New Roman"/>
          <w:lang w:val="pt-BR"/>
        </w:rPr>
        <w:t>Simulação de Sistemas Sem Fio Assistidos por Superfícies Inteligentes Reconfiguráveis (RIS)</w:t>
      </w:r>
    </w:p>
    <w:p w14:paraId="35C3461B" w14:textId="373E8242" w:rsidR="006F66A1" w:rsidRDefault="006F66A1" w:rsidP="006F66A1">
      <w:pPr>
        <w:jc w:val="center"/>
        <w:rPr>
          <w:rFonts w:ascii="Times New Roman" w:hAnsi="Times New Roman" w:cs="Times New Roman"/>
          <w:lang w:val="pt-BR"/>
        </w:rPr>
      </w:pPr>
      <w:r>
        <w:rPr>
          <w:rFonts w:ascii="Times New Roman" w:hAnsi="Times New Roman" w:cs="Times New Roman"/>
          <w:lang w:val="pt-BR"/>
        </w:rPr>
        <w:t>Diana Laura Fernández Duarte</w:t>
      </w:r>
      <w:r>
        <w:rPr>
          <w:rFonts w:ascii="Times New Roman" w:hAnsi="Times New Roman" w:cs="Times New Roman"/>
          <w:lang w:val="pt-BR"/>
        </w:rPr>
        <w:tab/>
        <w:t xml:space="preserve">José Gabriel </w:t>
      </w:r>
      <w:proofErr w:type="spellStart"/>
      <w:r>
        <w:rPr>
          <w:rFonts w:ascii="Times New Roman" w:hAnsi="Times New Roman" w:cs="Times New Roman"/>
          <w:lang w:val="pt-BR"/>
        </w:rPr>
        <w:t>Claure</w:t>
      </w:r>
      <w:proofErr w:type="spellEnd"/>
      <w:r>
        <w:rPr>
          <w:rFonts w:ascii="Times New Roman" w:hAnsi="Times New Roman" w:cs="Times New Roman"/>
          <w:lang w:val="pt-BR"/>
        </w:rPr>
        <w:t xml:space="preserve"> Sánchez</w:t>
      </w:r>
    </w:p>
    <w:p w14:paraId="2F9B7BFA" w14:textId="7CB57822" w:rsidR="009A5DC2" w:rsidRPr="006F66A1" w:rsidRDefault="009A5DC2" w:rsidP="006F66A1">
      <w:pPr>
        <w:pStyle w:val="Prrafodelista"/>
        <w:numPr>
          <w:ilvl w:val="0"/>
          <w:numId w:val="3"/>
        </w:numPr>
        <w:jc w:val="both"/>
        <w:rPr>
          <w:rFonts w:ascii="Times New Roman" w:hAnsi="Times New Roman" w:cs="Times New Roman"/>
          <w:b/>
          <w:bCs/>
          <w:lang w:val="pt-BR"/>
        </w:rPr>
      </w:pPr>
      <w:r w:rsidRPr="006F66A1">
        <w:rPr>
          <w:rFonts w:ascii="Times New Roman" w:hAnsi="Times New Roman" w:cs="Times New Roman"/>
          <w:b/>
          <w:bCs/>
          <w:lang w:val="pt-BR"/>
        </w:rPr>
        <w:t>Introdução</w:t>
      </w:r>
    </w:p>
    <w:p w14:paraId="020910B8" w14:textId="3BA1873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O surgimento de novas aplicações cada vez mais exigentes, como a condução autônoma, a telemedicina, a telepresença holográfica, a automação e robótica industrial, e a Internet de Tudo (</w:t>
      </w:r>
      <w:proofErr w:type="spellStart"/>
      <w:r w:rsidRPr="009A5DC2">
        <w:rPr>
          <w:rFonts w:ascii="Times New Roman" w:hAnsi="Times New Roman" w:cs="Times New Roman"/>
          <w:lang w:val="pt-BR"/>
        </w:rPr>
        <w:t>IoE</w:t>
      </w:r>
      <w:proofErr w:type="spellEnd"/>
      <w:r w:rsidRPr="009A5DC2">
        <w:rPr>
          <w:rFonts w:ascii="Times New Roman" w:hAnsi="Times New Roman" w:cs="Times New Roman"/>
          <w:lang w:val="pt-BR"/>
        </w:rPr>
        <w:t xml:space="preserve">), impulsiona o desenvolvimento da sexta geração de redes sem fio (6G). Esta nova geração busca superar as capacidades da atual quinta geração </w:t>
      </w:r>
      <w:r>
        <w:rPr>
          <w:rFonts w:ascii="Times New Roman" w:hAnsi="Times New Roman" w:cs="Times New Roman"/>
          <w:lang w:val="pt-BR"/>
        </w:rPr>
        <w:t>(</w:t>
      </w:r>
      <w:r w:rsidRPr="009A5DC2">
        <w:rPr>
          <w:rFonts w:ascii="Times New Roman" w:hAnsi="Times New Roman" w:cs="Times New Roman"/>
          <w:lang w:val="pt-BR"/>
        </w:rPr>
        <w:t>5G</w:t>
      </w:r>
      <w:r>
        <w:rPr>
          <w:rFonts w:ascii="Times New Roman" w:hAnsi="Times New Roman" w:cs="Times New Roman"/>
          <w:lang w:val="pt-BR"/>
        </w:rPr>
        <w:t>)</w:t>
      </w:r>
      <w:r w:rsidRPr="009A5DC2">
        <w:rPr>
          <w:rFonts w:ascii="Times New Roman" w:hAnsi="Times New Roman" w:cs="Times New Roman"/>
          <w:lang w:val="pt-BR"/>
        </w:rPr>
        <w:t xml:space="preserve">, oferecendo velocidades de transmissão de até 1 </w:t>
      </w:r>
      <w:proofErr w:type="spellStart"/>
      <w:r w:rsidRPr="009A5DC2">
        <w:rPr>
          <w:rFonts w:ascii="Times New Roman" w:hAnsi="Times New Roman" w:cs="Times New Roman"/>
          <w:lang w:val="pt-BR"/>
        </w:rPr>
        <w:t>Tbps</w:t>
      </w:r>
      <w:proofErr w:type="spellEnd"/>
      <w:r w:rsidRPr="009A5DC2">
        <w:rPr>
          <w:rFonts w:ascii="Times New Roman" w:hAnsi="Times New Roman" w:cs="Times New Roman"/>
          <w:lang w:val="pt-BR"/>
        </w:rPr>
        <w:t xml:space="preserve">, latências ultrabaixas na ordem de 0,1 </w:t>
      </w:r>
      <w:proofErr w:type="spellStart"/>
      <w:r w:rsidRPr="009A5DC2">
        <w:rPr>
          <w:rFonts w:ascii="Times New Roman" w:hAnsi="Times New Roman" w:cs="Times New Roman"/>
          <w:lang w:val="pt-BR"/>
        </w:rPr>
        <w:t>ms</w:t>
      </w:r>
      <w:proofErr w:type="spellEnd"/>
      <w:r w:rsidRPr="009A5DC2">
        <w:rPr>
          <w:rFonts w:ascii="Times New Roman" w:hAnsi="Times New Roman" w:cs="Times New Roman"/>
          <w:lang w:val="pt-BR"/>
        </w:rPr>
        <w:t xml:space="preserve"> e uma maior eficiência energética</w:t>
      </w:r>
      <w:r w:rsidR="00755247">
        <w:rPr>
          <w:rFonts w:ascii="Times New Roman" w:hAnsi="Times New Roman" w:cs="Times New Roman"/>
          <w:lang w:val="pt-BR"/>
        </w:rPr>
        <w:t xml:space="preserve"> </w:t>
      </w:r>
      <w:r w:rsidR="00755247">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{"citationID":"tEQBZQst","properties":{"formattedCitation":"[1]","plainCitation":"[1]","noteIndex":0},"citationItems":[{"id":153,"uris":["http://zotero.org/users/7957888/items/8SZQBIUG"],"itemData":{"id":153,"type":"article-journal","abstract":"The demand for wireless connectivity has grown exponentially over the last few decades. Fifth-generation (5G) communications, with far more features than fourth-generation communications, will soon be deployed worldwide. A new paradigm of wireless communication, the sixth-generation (6G) system, with the full support of artificial intelligence, is expected to be implemented between 2027 and 2030. Beyond 5G, some fundamental issues that need to be addressed are higher system capacity, higher data rate, lower latency, higher security, and improved quality of service (QoS) compared to the 5G system. This paper presents the vision of future 6G wireless communication and its network architecture. This article describes emerging technologies such as artificial intelligence, terahertz communications, wireless optical technology, free-space optical network, blockchain, three-dimensional networking, quantum communications, unmanned aerial vehicles, cell-free communications, integration of wireless information and energy transfer, integrated sensing and communication, integrated access-backhaul networks, dynamic network slicing, holographic beamforming, backscatter communication, intelligent reflecting surface, proactive caching, and big data analytics that can assist the 6G architecture development in guaranteeing the QoS. Besides, expected applications with 6G communication requirements and possible technologies are presented. We also describe potential challenges and research directions for achieving this goal.","container-title":"IEEE Open Journal of the Communications Society","DOI":"10.1109/OJCOMS.2020.3010270","ISSN":"2644-125X","page":"957-975","source":"IEEE Xplore","title":"6G Wireless Communication Systems: Applications, Requirements, Technologies, Challenges, and Research Directions","title-short":"6G Wireless Communication Systems","volume":"1","author":[{"family":"Chowdhury","given":"Mostafa Zaman"},{"family":"Shahjalal","given":"Md."},{"family":"Ahmed","given":"Shakil"},{"family":"Jang","given":"Yeong Min"}],"issued":{"date-parts":[["2020"]]}}}],"schema":"https://github.com/citation-style-language/schema/raw/master/csl-citation.json"} </w:instrText>
      </w:r>
      <w:r w:rsidR="00755247">
        <w:rPr>
          <w:rFonts w:ascii="Times New Roman" w:hAnsi="Times New Roman" w:cs="Times New Roman"/>
          <w:lang w:val="pt-BR"/>
        </w:rPr>
        <w:fldChar w:fldCharType="separate"/>
      </w:r>
      <w:r w:rsidR="00755247" w:rsidRPr="00755247">
        <w:rPr>
          <w:rFonts w:ascii="Times New Roman" w:hAnsi="Times New Roman" w:cs="Times New Roman"/>
          <w:lang w:val="pt-BR"/>
        </w:rPr>
        <w:t>[1]</w:t>
      </w:r>
      <w:r w:rsidR="00755247">
        <w:rPr>
          <w:rFonts w:ascii="Times New Roman" w:hAnsi="Times New Roman" w:cs="Times New Roman"/>
          <w:lang w:val="pt-BR"/>
        </w:rPr>
        <w:fldChar w:fldCharType="end"/>
      </w:r>
      <w:r w:rsidRPr="009A5DC2">
        <w:rPr>
          <w:rFonts w:ascii="Times New Roman" w:hAnsi="Times New Roman" w:cs="Times New Roman"/>
          <w:lang w:val="pt-BR"/>
        </w:rPr>
        <w:t>.</w:t>
      </w:r>
    </w:p>
    <w:p w14:paraId="19864C20" w14:textId="6E451E19"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No entanto, para alcançar esses objetivos, é necessário superar diversos desafios associados às comunicações na faixa de </w:t>
      </w:r>
      <w:proofErr w:type="spellStart"/>
      <w:r w:rsidRPr="009A5DC2">
        <w:rPr>
          <w:rFonts w:ascii="Times New Roman" w:hAnsi="Times New Roman" w:cs="Times New Roman"/>
          <w:lang w:val="pt-BR"/>
        </w:rPr>
        <w:t>terahertz</w:t>
      </w:r>
      <w:proofErr w:type="spellEnd"/>
      <w:r w:rsidRPr="009A5DC2">
        <w:rPr>
          <w:rFonts w:ascii="Times New Roman" w:hAnsi="Times New Roman" w:cs="Times New Roman"/>
          <w:lang w:val="pt-BR"/>
        </w:rPr>
        <w:t xml:space="preserve"> (</w:t>
      </w:r>
      <w:proofErr w:type="spellStart"/>
      <w:r w:rsidRPr="009A5DC2">
        <w:rPr>
          <w:rFonts w:ascii="Times New Roman" w:hAnsi="Times New Roman" w:cs="Times New Roman"/>
          <w:lang w:val="pt-BR"/>
        </w:rPr>
        <w:t>THz</w:t>
      </w:r>
      <w:proofErr w:type="spellEnd"/>
      <w:r w:rsidRPr="009A5DC2">
        <w:rPr>
          <w:rFonts w:ascii="Times New Roman" w:hAnsi="Times New Roman" w:cs="Times New Roman"/>
          <w:lang w:val="pt-BR"/>
        </w:rPr>
        <w:t>), tais como a alta atenuação do sinal, a cobertura celular limitada, as flutuações do canal e a conectividade intermitente. Uma solução amplamente difundida na literatura é o uso de sistemas de Múltiplas Entradas e Múltiplas Saídas Massivas (M-MIMO), no entanto, sua implementação implica em um alto custo operacional e resulta em um considerável consumo de energia</w:t>
      </w:r>
      <w:r w:rsidR="00B11F65">
        <w:rPr>
          <w:rFonts w:ascii="Times New Roman" w:hAnsi="Times New Roman" w:cs="Times New Roman"/>
          <w:lang w:val="pt-BR"/>
        </w:rPr>
        <w:t xml:space="preserve"> </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{"citationID":"UK73goVk","properties":{"formattedCitation":"[2]","plainCitation":"[2]","noteIndex":0},"citationItems":[{"id":151,"uris":["http://zotero.org/users/7957888/items/8RPPA9KB"],"itemData":{"id":151,"type":"article-journal","abstract":"The contemporary mobile communication has undergone a significant shift toward a novel phase characterized by the emergence of beyond 5G (B5G) and 6G technologies. These advancements underscore a focus on enhanced spectral efficiency, minimized latency, and expansive connectivity. This paper thoroughly examines 6G wireless communication networks, including their architectural framework, key technologies, application scenarios, use cases, and challenges. The architectural blueprint of 6G networks integrates space, terrestrial, aerial, and undersea communications to facilitate deep connectivity across various scenarios, which is to meet the increasing future communication requisites. Toward this end, the paper proposes 15 key technologies such as terahertz communication, visible light communication, dynamic spectrum sharing, ultra-massive multiple-input multiple-output (MIMO), and in-band full-duplex. Furthermore, typical scenarios and emerging use cases of 6G are detailed. Conclusively, this paper expounds upon potential challenges in developing and suggests the corresponding solutions, fostering a global dialogue on this transformative technological frontier.","container-title":"iScience","DOI":"10.1016/j.isci.2025.112281","ISSN":"2589-0042","issue":"5","journalAbbreviation":"iScience","page":"112281","source":"ScienceDirect","title":"Exploring the key technologies and applications of 6G wireless communication network","volume":"28","author":[{"family":"Li","given":"Pengfei"},{"family":"Fan","given":"Jiaxin"},{"family":"Wu","given":"Jianhong"}],"issued":{"date-parts":[["2025",5,16]]}}}],"schema":"https://github.com/citation-style-language/schema/raw/master/csl-citation.json"}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[2]</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78F1515C" w14:textId="31EB49EE"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Essas limitações têm impulsionado a adoção de tecnologias emergentes, como as Superfícies Inteligentes Reconfiguráveis (RIS), capazes de melhorar a capacidade e a cobertura dos sistemas sem fio mediante um controle inteligente do ambiente eletromagnético. São compostas por uma matriz de elementos refletivos passivos de baixo custo, capazes de induzir uma mudança de fase e amplitude no sinal incidente, criando uma quase linha de visão</w:t>
      </w:r>
      <w:r w:rsidR="00807DED">
        <w:rPr>
          <w:rFonts w:ascii="Times New Roman" w:hAnsi="Times New Roman" w:cs="Times New Roman"/>
          <w:lang w:val="pt-BR"/>
        </w:rPr>
        <w:t xml:space="preserve"> (</w:t>
      </w:r>
      <w:proofErr w:type="spellStart"/>
      <w:r w:rsidR="00807DED">
        <w:rPr>
          <w:rFonts w:ascii="Times New Roman" w:hAnsi="Times New Roman" w:cs="Times New Roman"/>
          <w:lang w:val="pt-BR"/>
        </w:rPr>
        <w:t>LoS</w:t>
      </w:r>
      <w:proofErr w:type="spellEnd"/>
      <w:r w:rsidR="00807DED">
        <w:rPr>
          <w:rFonts w:ascii="Times New Roman" w:hAnsi="Times New Roman" w:cs="Times New Roman"/>
          <w:lang w:val="pt-BR"/>
        </w:rPr>
        <w:t>)</w:t>
      </w:r>
      <w:r w:rsidRPr="009A5DC2">
        <w:rPr>
          <w:rFonts w:ascii="Times New Roman" w:hAnsi="Times New Roman" w:cs="Times New Roman"/>
          <w:lang w:val="pt-BR"/>
        </w:rPr>
        <w:t xml:space="preserve"> auxiliar em cenários onde a linha de visão direta entre a estação base (BS) e o receptor se encontra obstruída. Possuem três modos de operação: Refletivo, Transmissivo e Híbrido, e geralmente são classificadas de acordo com a topologia da rede de impedâncias reconfiguráveis.</w:t>
      </w:r>
      <w:r>
        <w:rPr>
          <w:rFonts w:ascii="Times New Roman" w:hAnsi="Times New Roman" w:cs="Times New Roman"/>
          <w:lang w:val="pt-BR"/>
        </w:rPr>
        <w:t xml:space="preserve"> </w:t>
      </w:r>
      <w:r w:rsidRPr="009A5DC2">
        <w:rPr>
          <w:rFonts w:ascii="Times New Roman" w:hAnsi="Times New Roman" w:cs="Times New Roman"/>
          <w:lang w:val="pt-BR"/>
        </w:rPr>
        <w:t xml:space="preserve">As RIS Clássicas possuem cada um de seus elementos conectados individualmente </w:t>
      </w:r>
      <w:r w:rsidR="00807DED" w:rsidRPr="009A5DC2">
        <w:rPr>
          <w:rFonts w:ascii="Times New Roman" w:hAnsi="Times New Roman" w:cs="Times New Roman"/>
          <w:lang w:val="pt-BR"/>
        </w:rPr>
        <w:t>à terra</w:t>
      </w:r>
      <w:r w:rsidRPr="009A5DC2">
        <w:rPr>
          <w:rFonts w:ascii="Times New Roman" w:hAnsi="Times New Roman" w:cs="Times New Roman"/>
          <w:lang w:val="pt-BR"/>
        </w:rPr>
        <w:t>. São modeladas matematicamente como uma matriz diagonal de deslocamento de fase. Essa arquitetura é a mais simples e menos custosa computacionalmente</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{"citationID":"iZg6K7of","properties":{"formattedCitation":"[3]","plainCitation":"[3]","noteIndex":0},"citationItems":[{"id":148,"uris":["http://zotero.org/users/7957888/items/4DBYCXZY"],"itemData":{"id":148,"type":"article-journal","abstract":"Reconfigurable intelligent surfaces (RISs), also known as intelligent reflecting surfaces (IRSs), or large intelligent surfaces (LISs),1 have received significant attention for their potential to enhance the capacity and coverage of wireless networks by smartly reconfiguring the wireless propagation environment. Therefore, RISs are considered a promising technology for the sixth-generation (6G) of communication networks. In this context, we provide a comprehensive overview of the state-of-the-art on RISs, with focus on their operating principles, performance evaluation, beamforming design and resource management, applications of machine learning to RIS-enhanced wireless networks, as well as the integration of RISs with other emerging technologies. We describe the basic principles of RISs both from physics and communications perspectives, based on which we present performance evaluation of multiantenna assisted RIS systems. In addition, we systematically survey existing designs for RIS-enhanced wireless networks encompassing performance analysis, information theory, and performance optimization perspectives. Furthermore, we survey existing research contributions that apply machine learning for tackling challenges in dynamic scenarios, such as random fluctuations of wireless channels and user mobility in RIS-enhanced wireless networks. Last but not least, we identify major issues and research opportunities associated with the integration of RISs and other emerging technologies for applications to next-generation networks.1Without loss of generality, we use the name of RIS in the remainder of this paper.","container-title":"IEEE Communications Surveys &amp; Tutorials","DOI":"10.1109/COMST.2021.3077737","ISSN":"1553-877X","issue":"3","page":"1546-1577","source":"IEEE Xplore","title":"Reconfigurable Intelligent Surfaces: Principles and Opportunities","title-short":"Reconfigurable Intelligent Surfaces","volume":"23","author":[{"family":"Liu","given":"Yuanwei"},{"family":"Liu","given":"Xiao"},{"family":"Mu","given":"Xidong"},{"family":"Hou","given":"Tianwei"},{"family":"Xu","given":"Jiaqi"},{"family":"Di Renzo","given":"Marco"},{"family":"Al-Dhahir","given":"Naofal"}],"issued":{"date-parts":[["2021"]]}}}],"schema":"https://github.com/citation-style-language/schema/raw/master/csl-citation.json"}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[3]</w:t>
      </w:r>
      <w:r w:rsidR="00C351DD">
        <w:rPr>
          <w:rFonts w:ascii="Times New Roman" w:hAnsi="Times New Roman" w:cs="Times New Roman"/>
          <w:lang w:val="pt-BR"/>
        </w:rPr>
        <w:fldChar w:fldCharType="end"/>
      </w:r>
      <w:r w:rsidR="00B11F65">
        <w:rPr>
          <w:rFonts w:ascii="Times New Roman" w:hAnsi="Times New Roman" w:cs="Times New Roman"/>
          <w:lang w:val="pt-BR"/>
        </w:rPr>
        <w:t>,</w:t>
      </w:r>
      <w:r w:rsidR="00B11F65">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{"citationID":"X6K96UKH","properties":{"formattedCitation":"[4]","plainCitation":"[4]","noteIndex":0},"citationItems":[{"id":138,"uris":["http://zotero.org/users/7957888/items/3BS86GPY"],"itemData":{"id":138,"type":"article-journal","abstract":"Intelligent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B11F65">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B11F65">
        <w:rPr>
          <w:rFonts w:ascii="Times New Roman" w:hAnsi="Times New Roman" w:cs="Times New Roman"/>
          <w:lang w:val="pt-BR"/>
        </w:rPr>
        <w:fldChar w:fldCharType="end"/>
      </w:r>
      <w:r w:rsidRPr="009A5DC2">
        <w:rPr>
          <w:rFonts w:ascii="Times New Roman" w:hAnsi="Times New Roman" w:cs="Times New Roman"/>
          <w:lang w:val="pt-BR"/>
        </w:rPr>
        <w:t>.</w:t>
      </w:r>
    </w:p>
    <w:p w14:paraId="2E98B213" w14:textId="576266C8" w:rsidR="00A26EED"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Com o objetivo de aprofundar o desempenho das RIS Clássicas, este trabalho se concentra na análise do estudo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{"citationID":"eWZXMMyE","properties":{"formattedCitation":"[4]","plainCitation":"[4]","noteIndex":0},"citationItems":[{"id":138,"uris":["http://zotero.org/users/7957888/items/3BS86GPY"],"itemData":{"id":138,"type":"article-journal","abstract":"Intelligent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onde é avaliado o impacto do número de elementos </w:t>
      </w:r>
      <w:r w:rsidR="00C351DD">
        <w:rPr>
          <w:rFonts w:ascii="Times New Roman" w:hAnsi="Times New Roman" w:cs="Times New Roman"/>
          <w:i/>
          <w:iCs/>
          <w:lang w:val="pt-BR"/>
        </w:rPr>
        <w:t>M</w:t>
      </w:r>
      <w:r w:rsidRPr="009A5DC2">
        <w:rPr>
          <w:rFonts w:ascii="Times New Roman" w:hAnsi="Times New Roman" w:cs="Times New Roman"/>
          <w:lang w:val="pt-BR"/>
        </w:rPr>
        <w:t xml:space="preserve"> que compõem uma RIS sobre a taxa de transmissão em um sistema SISO de um único usuário. A seguir, na </w:t>
      </w:r>
      <w:r w:rsidRPr="009A5DC2">
        <w:rPr>
          <w:rFonts w:ascii="Times New Roman" w:hAnsi="Times New Roman" w:cs="Times New Roman"/>
          <w:i/>
          <w:iCs/>
          <w:lang w:val="pt-BR"/>
        </w:rPr>
        <w:t>Seção II</w:t>
      </w:r>
      <w:r w:rsidRPr="009A5DC2">
        <w:rPr>
          <w:rFonts w:ascii="Times New Roman" w:hAnsi="Times New Roman" w:cs="Times New Roman"/>
          <w:lang w:val="pt-BR"/>
        </w:rPr>
        <w:t xml:space="preserve"> deste projeto, é descrito o modelo do sistema apresentado em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{"citationID":"xc4ttjrg","properties":{"formattedCitation":"[4]","plainCitation":"[4]","noteIndex":0},"citationItems":[{"id":138,"uris":["http://zotero.org/users/7957888/items/3BS86GPY"],"itemData":{"id":138,"type":"article-journal","abstract":"Intelligent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9A5DC2">
        <w:rPr>
          <w:rFonts w:ascii="Times New Roman" w:hAnsi="Times New Roman" w:cs="Times New Roman"/>
          <w:lang w:val="pt-BR"/>
        </w:rPr>
        <w:t xml:space="preserve">. Na </w:t>
      </w:r>
      <w:r w:rsidRPr="009A5DC2">
        <w:rPr>
          <w:rFonts w:ascii="Times New Roman" w:hAnsi="Times New Roman" w:cs="Times New Roman"/>
          <w:i/>
          <w:iCs/>
          <w:lang w:val="pt-BR"/>
        </w:rPr>
        <w:t>Seção III</w:t>
      </w:r>
      <w:r w:rsidRPr="009A5DC2">
        <w:rPr>
          <w:rFonts w:ascii="Times New Roman" w:hAnsi="Times New Roman" w:cs="Times New Roman"/>
          <w:lang w:val="pt-BR"/>
        </w:rPr>
        <w:t xml:space="preserve">, é analisado o algoritmo implementado e discutidos os resultados e, finalmente, na </w:t>
      </w:r>
      <w:r w:rsidRPr="009A5DC2">
        <w:rPr>
          <w:rFonts w:ascii="Times New Roman" w:hAnsi="Times New Roman" w:cs="Times New Roman"/>
          <w:i/>
          <w:iCs/>
          <w:lang w:val="pt-BR"/>
        </w:rPr>
        <w:t>Seção IV</w:t>
      </w:r>
      <w:r w:rsidRPr="009A5DC2">
        <w:rPr>
          <w:rFonts w:ascii="Times New Roman" w:hAnsi="Times New Roman" w:cs="Times New Roman"/>
          <w:lang w:val="pt-BR"/>
        </w:rPr>
        <w:t>, são apresentadas as conclusões obtidas.</w:t>
      </w:r>
    </w:p>
    <w:p w14:paraId="55238EC3" w14:textId="77777777" w:rsidR="006F66A1" w:rsidRDefault="006F66A1" w:rsidP="009A5DC2">
      <w:pPr>
        <w:jc w:val="both"/>
        <w:rPr>
          <w:rFonts w:ascii="Times New Roman" w:hAnsi="Times New Roman" w:cs="Times New Roman"/>
          <w:lang w:val="pt-BR"/>
        </w:rPr>
      </w:pPr>
    </w:p>
    <w:p w14:paraId="45431135" w14:textId="77777777" w:rsidR="006F66A1" w:rsidRDefault="006F66A1" w:rsidP="009A5DC2">
      <w:pPr>
        <w:jc w:val="both"/>
        <w:rPr>
          <w:rFonts w:ascii="Times New Roman" w:hAnsi="Times New Roman" w:cs="Times New Roman"/>
          <w:lang w:val="pt-BR"/>
        </w:rPr>
      </w:pPr>
    </w:p>
    <w:p w14:paraId="56140AAB" w14:textId="43DBEBE0" w:rsidR="009A5DC2" w:rsidRPr="009A5DC2" w:rsidRDefault="009A5DC2" w:rsidP="009A5DC2">
      <w:pPr>
        <w:pStyle w:val="Prrafodelista"/>
        <w:numPr>
          <w:ilvl w:val="0"/>
          <w:numId w:val="2"/>
        </w:numPr>
        <w:jc w:val="both"/>
        <w:rPr>
          <w:rFonts w:ascii="Times New Roman" w:hAnsi="Times New Roman" w:cs="Times New Roman"/>
          <w:b/>
          <w:bCs/>
          <w:lang w:val="pt-BR"/>
        </w:rPr>
      </w:pPr>
      <w:r w:rsidRPr="009A5DC2">
        <w:rPr>
          <w:rFonts w:ascii="Times New Roman" w:hAnsi="Times New Roman" w:cs="Times New Roman"/>
          <w:b/>
          <w:bCs/>
          <w:lang w:val="pt-BR"/>
        </w:rPr>
        <w:lastRenderedPageBreak/>
        <w:t>Modelo do sistema</w:t>
      </w:r>
    </w:p>
    <w:p w14:paraId="59EA16B7" w14:textId="5358480C"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 sistema é composto por </w:t>
      </w:r>
      <w:r w:rsidR="006F66A1">
        <w:rPr>
          <w:rFonts w:ascii="Times New Roman" w:hAnsi="Times New Roman" w:cs="Times New Roman"/>
          <w:lang w:val="pt-BR"/>
        </w:rPr>
        <w:t xml:space="preserve">uma </w:t>
      </w:r>
      <w:r w:rsidRPr="009A5DC2">
        <w:rPr>
          <w:rFonts w:ascii="Times New Roman" w:hAnsi="Times New Roman" w:cs="Times New Roman"/>
          <w:lang w:val="pt-BR"/>
        </w:rPr>
        <w:t xml:space="preserve">BS e um usuário, ambos equipados com uma única antena. Considera-se que o canal de linha de visão direta entre o transmissor e o receptor está completamente obstruído, de modo que a comunicação entre a BS e o usuário ocorre unicamente por meio de uma RIS composta por </w:t>
      </w:r>
      <w:r w:rsidRPr="009A5DC2">
        <w:rPr>
          <w:rFonts w:ascii="Times New Roman" w:hAnsi="Times New Roman" w:cs="Times New Roman"/>
          <w:i/>
          <w:iCs/>
          <w:lang w:val="pt-BR"/>
        </w:rPr>
        <w:t>M</w:t>
      </w:r>
      <w:r>
        <w:rPr>
          <w:rFonts w:ascii="Times New Roman" w:hAnsi="Times New Roman" w:cs="Times New Roman"/>
          <w:lang w:val="pt-BR"/>
        </w:rPr>
        <w:t xml:space="preserve"> </w:t>
      </w:r>
      <w:r w:rsidRPr="009A5DC2">
        <w:rPr>
          <w:rFonts w:ascii="Times New Roman" w:hAnsi="Times New Roman" w:cs="Times New Roman"/>
          <w:lang w:val="pt-BR"/>
        </w:rPr>
        <w:t>elementos refletivos. O sinal recebido pelo usuário é dado por:</w:t>
      </w:r>
    </w:p>
    <w:p w14:paraId="4562021B" w14:textId="0A870600" w:rsidR="00B11F65" w:rsidRPr="00B11F65" w:rsidRDefault="009A5DC2" w:rsidP="00B11F65">
      <w:pPr>
        <w:jc w:val="center"/>
        <w:rPr>
          <w:rFonts w:ascii="Times New Roman" w:eastAsiaTheme="minorEastAsia" w:hAnsi="Times New Roman" w:cs="Times New Roman"/>
          <w:lang w:val="pt-BR"/>
        </w:rPr>
      </w:pPr>
      <m:oMath>
        <m:r>
          <w:rPr>
            <w:rFonts w:ascii="Cambria Math" w:hAnsi="Cambria Math" w:cs="Times New Roman"/>
          </w:rPr>
          <m:t>y</m:t>
        </m:r>
        <m:r>
          <w:rPr>
            <w:rFonts w:ascii="Cambria Math" w:hAnsi="Cambria Math" w:cs="Times New Roman"/>
            <w:lang w:val="pt-BR"/>
          </w:rPr>
          <m:t xml:space="preserve"> = </m:t>
        </m:r>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x</m:t>
        </m:r>
        <m:r>
          <w:rPr>
            <w:rFonts w:ascii="Cambria Math" w:hAnsi="Cambria Math" w:cs="Times New Roman"/>
            <w:lang w:val="pt-BR"/>
          </w:rPr>
          <m:t>+</m:t>
        </m:r>
        <m:r>
          <w:rPr>
            <w:rFonts w:ascii="Cambria Math" w:eastAsiaTheme="minorEastAsia" w:hAnsi="Cambria Math" w:cs="Times New Roman"/>
          </w:rPr>
          <m:t>z</m:t>
        </m:r>
      </m:oMath>
      <w:r w:rsidR="00B11F65" w:rsidRPr="00B11F65">
        <w:rPr>
          <w:rFonts w:ascii="Times New Roman" w:eastAsiaTheme="minorEastAsia" w:hAnsi="Times New Roman" w:cs="Times New Roman"/>
          <w:lang w:val="pt-BR"/>
        </w:rPr>
        <w:t xml:space="preserve"> </w:t>
      </w:r>
      <w:r w:rsidR="00B11F65">
        <w:rPr>
          <w:rFonts w:ascii="Times New Roman" w:eastAsiaTheme="minorEastAsia" w:hAnsi="Times New Roman" w:cs="Times New Roman"/>
          <w:lang w:val="pt-BR"/>
        </w:rPr>
        <w:t xml:space="preserve">                                  </w:t>
      </w:r>
    </w:p>
    <w:p w14:paraId="3BFB4242" w14:textId="02796613" w:rsidR="009A5DC2" w:rsidRPr="006F66A1" w:rsidRDefault="009A5DC2" w:rsidP="009A5DC2">
      <w:pPr>
        <w:jc w:val="both"/>
        <w:rPr>
          <w:rFonts w:ascii="Times New Roman" w:eastAsiaTheme="minorEastAsia" w:hAnsi="Times New Roman" w:cs="Times New Roman"/>
          <w:lang w:val="pt-BR"/>
        </w:rPr>
      </w:pPr>
      <w:r w:rsidRPr="009A5DC2">
        <w:rPr>
          <w:rFonts w:ascii="Times New Roman" w:hAnsi="Times New Roman" w:cs="Times New Roman"/>
          <w:lang w:val="pt-BR"/>
        </w:rPr>
        <w:t xml:space="preserve">onde </w:t>
      </w:r>
      <m:oMath>
        <m:r>
          <m:rPr>
            <m:sty m:val="b"/>
          </m:rPr>
          <w:rPr>
            <w:rFonts w:ascii="Cambria Math" w:hAnsi="Cambria Math" w:cs="Times New Roman"/>
          </w:rPr>
          <m:t>g</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×1</m:t>
            </m:r>
          </m:sup>
        </m:sSup>
        <m:r>
          <m:rPr>
            <m:sty m:val="bi"/>
          </m:rPr>
          <w:rPr>
            <w:rFonts w:ascii="Cambria Math" w:eastAsiaTheme="minorEastAsia" w:hAnsi="Cambria Math" w:cs="Times New Roman"/>
            <w:lang w:val="pt-BR"/>
          </w:rPr>
          <m:t xml:space="preserve"> </m:t>
        </m:r>
      </m:oMath>
      <w:r>
        <w:rPr>
          <w:rFonts w:ascii="Times New Roman" w:eastAsiaTheme="minorEastAsia" w:hAnsi="Times New Roman" w:cs="Times New Roman"/>
          <w:lang w:val="pt-BR"/>
        </w:rPr>
        <w:t>e</w:t>
      </w:r>
      <w:r w:rsidRPr="009A5DC2">
        <w:rPr>
          <w:rFonts w:ascii="Times New Roman" w:eastAsiaTheme="minorEastAsia" w:hAnsi="Times New Roman" w:cs="Times New Roman"/>
          <w:b/>
          <w:bCs/>
          <w:lang w:val="pt-BR"/>
        </w:rPr>
        <w:t xml:space="preserve"> </w:t>
      </w:r>
      <m:oMath>
        <m:sSubSup>
          <m:sSubSupPr>
            <m:ctrlPr>
              <w:rPr>
                <w:rFonts w:ascii="Cambria Math" w:hAnsi="Cambria Math" w:cs="Times New Roman"/>
                <w:b/>
                <w:bCs/>
                <w:iCs/>
              </w:rPr>
            </m:ctrlPr>
          </m:sSubSupPr>
          <m:e>
            <m:r>
              <m:rPr>
                <m:sty m:val="b"/>
              </m:rPr>
              <w:rPr>
                <w:rFonts w:ascii="Cambria Math" w:hAnsi="Cambria Math" w:cs="Times New Roman"/>
              </w:rPr>
              <m:t>h</m:t>
            </m:r>
          </m:e>
          <m:sub>
            <m:r>
              <m:rPr>
                <m:sty m:val="p"/>
              </m:rPr>
              <w:rPr>
                <w:rFonts w:ascii="Cambria Math" w:hAnsi="Cambria Math" w:cs="Times New Roman"/>
                <w:lang w:val="pt-BR"/>
              </w:rPr>
              <m:t>r</m:t>
            </m:r>
          </m:sub>
          <m:sup>
            <m:r>
              <m:rPr>
                <m:sty m:val="p"/>
              </m:rPr>
              <w:rPr>
                <w:rFonts w:ascii="Cambria Math" w:hAnsi="Cambria Math" w:cs="Times New Roman"/>
                <w:lang w:val="pt-BR"/>
              </w:rPr>
              <m:t>H</m:t>
            </m:r>
          </m:sup>
        </m:sSubSup>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lang w:val="pt-BR"/>
              </w:rPr>
              <m:t>1×</m:t>
            </m:r>
            <m:r>
              <w:rPr>
                <w:rFonts w:ascii="Cambria Math" w:eastAsiaTheme="minorEastAsia" w:hAnsi="Cambria Math" w:cs="Times New Roman"/>
              </w:rPr>
              <m:t>M</m:t>
            </m:r>
          </m:sup>
        </m:sSup>
      </m:oMath>
      <w:r w:rsidRPr="009A5DC2">
        <w:rPr>
          <w:rFonts w:ascii="Times New Roman" w:hAnsi="Times New Roman" w:cs="Times New Roman"/>
          <w:lang w:val="pt-BR"/>
        </w:rPr>
        <w:t xml:space="preserve">representam os vetores de canal entre a BS e a RIS, e entre a RIS e o usuário, respectivamente. A potência de transmissão é denotada por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oMath>
      <w:r w:rsidRPr="009A5DC2">
        <w:rPr>
          <w:rFonts w:ascii="Times New Roman" w:hAnsi="Times New Roman" w:cs="Times New Roman"/>
          <w:lang w:val="pt-BR"/>
        </w:rPr>
        <w:t xml:space="preserve">​, enquanto o sinal transmitido pela BS é representado por </w:t>
      </w:r>
      <w:r w:rsidRPr="009A5DC2">
        <w:rPr>
          <w:rFonts w:ascii="Times New Roman" w:hAnsi="Times New Roman" w:cs="Times New Roman"/>
          <w:i/>
          <w:iCs/>
          <w:lang w:val="pt-BR"/>
        </w:rPr>
        <w:t>x</w:t>
      </w:r>
      <w:r w:rsidRPr="009A5DC2">
        <w:rPr>
          <w:rFonts w:ascii="Times New Roman" w:hAnsi="Times New Roman" w:cs="Times New Roman"/>
          <w:lang w:val="pt-BR"/>
        </w:rPr>
        <w:t>. Por fim, o ruído branco gaussiano aditivo</w:t>
      </w:r>
      <w:r w:rsidR="006F66A1">
        <w:rPr>
          <w:rFonts w:ascii="Times New Roman" w:hAnsi="Times New Roman" w:cs="Times New Roman"/>
          <w:lang w:val="pt-BR"/>
        </w:rPr>
        <w:t xml:space="preserve"> (AWGN)</w:t>
      </w:r>
      <w:r w:rsidRPr="009A5DC2">
        <w:rPr>
          <w:rFonts w:ascii="Times New Roman" w:hAnsi="Times New Roman" w:cs="Times New Roman"/>
          <w:lang w:val="pt-BR"/>
        </w:rPr>
        <w:t xml:space="preserve"> com média zero e variância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lang w:val="pt-BR"/>
              </w:rPr>
              <m:t>2</m:t>
            </m:r>
          </m:sup>
        </m:sSup>
      </m:oMath>
      <w:r w:rsidRPr="009A5DC2">
        <w:rPr>
          <w:rFonts w:ascii="Times New Roman" w:eastAsiaTheme="minorEastAsia" w:hAnsi="Times New Roman" w:cs="Times New Roman"/>
          <w:lang w:val="pt-BR"/>
        </w:rPr>
        <w:t xml:space="preserve"> </w:t>
      </w:r>
      <w:r w:rsidRPr="009A5DC2">
        <w:rPr>
          <w:rFonts w:ascii="Times New Roman" w:hAnsi="Times New Roman" w:cs="Times New Roman"/>
          <w:lang w:val="pt-BR"/>
        </w:rPr>
        <w:t xml:space="preserve">é representado por </w:t>
      </w:r>
      <w:r w:rsidRPr="009A5DC2">
        <w:rPr>
          <w:rFonts w:ascii="Times New Roman" w:hAnsi="Times New Roman" w:cs="Times New Roman"/>
          <w:i/>
          <w:iCs/>
          <w:lang w:val="pt-BR"/>
        </w:rPr>
        <w:t>z</w:t>
      </w:r>
      <w:r w:rsidRPr="009A5DC2">
        <w:rPr>
          <w:rFonts w:ascii="Times New Roman" w:hAnsi="Times New Roman" w:cs="Times New Roman"/>
          <w:lang w:val="pt-BR"/>
        </w:rPr>
        <w:t>.</w:t>
      </w:r>
    </w:p>
    <w:p w14:paraId="04454EE7" w14:textId="18214317" w:rsid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matriz de reflexão da RIS é representada por </w:t>
      </w:r>
      <m:oMath>
        <m:r>
          <m:rPr>
            <m:sty m:val="b"/>
          </m:rPr>
          <w:rPr>
            <w:rFonts w:ascii="Cambria Math" w:hAnsi="Cambria Math" w:cs="Times New Roman"/>
          </w:rPr>
          <m:t>θ</m:t>
        </m:r>
        <m:r>
          <w:rPr>
            <w:rFonts w:ascii="Cambria Math" w:eastAsiaTheme="minorEastAsia" w:hAnsi="Cambria Math" w:cs="Times New Roman"/>
          </w:rPr>
          <m:t>ϵ</m:t>
        </m:r>
        <m:sSup>
          <m:sSupPr>
            <m:ctrlPr>
              <w:rPr>
                <w:rFonts w:ascii="Cambria Math" w:eastAsiaTheme="minorEastAsia" w:hAnsi="Cambria Math" w:cs="Times New Roman"/>
                <w:b/>
                <w:bCs/>
                <w:i/>
              </w:rPr>
            </m:ctrlPr>
          </m:sSupPr>
          <m:e>
            <m:r>
              <m:rPr>
                <m:scr m:val="double-struck"/>
                <m:sty m:val="bi"/>
              </m:rPr>
              <w:rPr>
                <w:rFonts w:ascii="Cambria Math" w:eastAsiaTheme="minorEastAsia" w:hAnsi="Cambria Math" w:cs="Times New Roman"/>
                <w:lang w:val="pt-BR"/>
              </w:rPr>
              <m:t>C</m:t>
            </m:r>
          </m:e>
          <m:sup>
            <m:r>
              <w:rPr>
                <w:rFonts w:ascii="Cambria Math" w:eastAsiaTheme="minorEastAsia" w:hAnsi="Cambria Math" w:cs="Times New Roman"/>
              </w:rPr>
              <m:t>M</m:t>
            </m:r>
            <m:r>
              <w:rPr>
                <w:rFonts w:ascii="Cambria Math" w:eastAsiaTheme="minorEastAsia" w:hAnsi="Cambria Math" w:cs="Times New Roman"/>
                <w:lang w:val="pt-BR"/>
              </w:rPr>
              <m:t>×</m:t>
            </m:r>
            <m:r>
              <w:rPr>
                <w:rFonts w:ascii="Cambria Math" w:eastAsiaTheme="minorEastAsia" w:hAnsi="Cambria Math" w:cs="Times New Roman"/>
              </w:rPr>
              <m:t>M</m:t>
            </m:r>
          </m:sup>
        </m:sSup>
      </m:oMath>
      <w:r w:rsidR="006F66A1">
        <w:rPr>
          <w:rFonts w:ascii="Times New Roman" w:hAnsi="Times New Roman" w:cs="Times New Roman"/>
          <w:lang w:val="pt-BR"/>
        </w:rPr>
        <w:t>. C</w:t>
      </w:r>
      <w:r w:rsidRPr="009A5DC2">
        <w:rPr>
          <w:rFonts w:ascii="Times New Roman" w:hAnsi="Times New Roman" w:cs="Times New Roman"/>
          <w:lang w:val="pt-BR"/>
        </w:rPr>
        <w:t>omo mencionado anteriormente, é modelada como uma matriz diagonal dada por:</w:t>
      </w:r>
    </w:p>
    <w:p w14:paraId="32DB0B4F" w14:textId="5FBAE8B8" w:rsidR="009A5DC2" w:rsidRPr="00B11F65" w:rsidRDefault="009A5DC2" w:rsidP="00B11F65">
      <w:pPr>
        <w:ind w:left="2124" w:firstLine="708"/>
        <w:jc w:val="center"/>
        <w:rPr>
          <w:rFonts w:ascii="Times New Roman" w:eastAsiaTheme="minorEastAsia" w:hAnsi="Times New Roman" w:cs="Times New Roman"/>
          <w:b/>
          <w:bCs/>
          <w:iCs/>
          <w:lang w:val="pt-BR"/>
        </w:rPr>
      </w:pPr>
      <m:oMath>
        <m:r>
          <m:rPr>
            <m:sty m:val="b"/>
          </m:rPr>
          <w:rPr>
            <w:rFonts w:ascii="Cambria Math" w:hAnsi="Cambria Math" w:cs="Times New Roman"/>
          </w:rPr>
          <m:t>θ</m:t>
        </m:r>
        <m:r>
          <m:rPr>
            <m:sty m:val="b"/>
          </m:rPr>
          <w:rPr>
            <w:rFonts w:ascii="Cambria Math" w:hAnsi="Cambria Math" w:cs="Times New Roman"/>
            <w:lang w:val="pt-BR"/>
          </w:rPr>
          <m:t>=</m:t>
        </m:r>
        <m:r>
          <m:rPr>
            <m:sty m:val="p"/>
          </m:rPr>
          <w:rPr>
            <w:rFonts w:ascii="Cambria Math" w:hAnsi="Cambria Math" w:cs="Times New Roman"/>
            <w:lang w:val="pt-BR"/>
          </w:rPr>
          <m:t>diag</m:t>
        </m:r>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lang w:val="pt-BR"/>
                  </w:rPr>
                  <m:t>1</m:t>
                </m:r>
              </m:sub>
            </m:sSub>
          </m:sup>
        </m:sSup>
        <m:r>
          <w:rPr>
            <w:rFonts w:ascii="Cambria Math" w:hAnsi="Cambria Math" w:cs="Times New Roman"/>
            <w:lang w:val="pt-BR"/>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sup>
        </m:sSup>
        <m:r>
          <w:rPr>
            <w:rFonts w:ascii="Cambria Math" w:hAnsi="Cambria Math" w:cs="Times New Roman"/>
            <w:lang w:val="pt-BR"/>
          </w:rPr>
          <m:t>)</m:t>
        </m:r>
      </m:oMath>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r w:rsidR="00B11F65" w:rsidRPr="00B11F65">
        <w:rPr>
          <w:rFonts w:ascii="Times New Roman" w:eastAsiaTheme="minorEastAsia" w:hAnsi="Times New Roman" w:cs="Times New Roman"/>
          <w:lang w:val="pt-BR"/>
        </w:rPr>
        <w:tab/>
      </w:r>
    </w:p>
    <w:p w14:paraId="3794E7E6" w14:textId="3EA0A3F6"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eastAsiaTheme="minorEastAsia" w:hAnsi="Cambria Math" w:cs="Times New Roman"/>
          </w:rPr>
          <m:t>ϵ</m:t>
        </m:r>
        <m:r>
          <w:rPr>
            <w:rFonts w:ascii="Cambria Math" w:eastAsiaTheme="minorEastAsia" w:hAnsi="Cambria Math" w:cs="Times New Roman"/>
            <w:lang w:val="pt-BR"/>
          </w:rPr>
          <m:t>[0, 2</m:t>
        </m:r>
        <m:r>
          <w:rPr>
            <w:rFonts w:ascii="Cambria Math" w:eastAsiaTheme="minorEastAsia" w:hAnsi="Cambria Math" w:cs="Times New Roman"/>
          </w:rPr>
          <m:t>π</m:t>
        </m:r>
        <m:r>
          <w:rPr>
            <w:rFonts w:ascii="Cambria Math" w:eastAsiaTheme="minorEastAsia" w:hAnsi="Cambria Math" w:cs="Times New Roman"/>
            <w:lang w:val="pt-BR"/>
          </w:rPr>
          <m:t>),</m:t>
        </m:r>
      </m:oMath>
      <w:r w:rsidRPr="009A5DC2">
        <w:rPr>
          <w:rFonts w:ascii="Times New Roman" w:hAnsi="Times New Roman" w:cs="Times New Roman"/>
          <w:lang w:val="pt-BR"/>
        </w:rPr>
        <w:t xml:space="preserve"> </w:t>
      </w:r>
      <m:oMath>
        <m:r>
          <w:rPr>
            <w:rFonts w:ascii="Cambria Math" w:eastAsiaTheme="minorEastAsia" w:hAnsi="Cambria Math" w:cs="Times New Roman"/>
            <w:lang w:val="pt-BR"/>
          </w:rPr>
          <m:t xml:space="preserve">para </m:t>
        </m:r>
        <m:r>
          <w:rPr>
            <w:rFonts w:ascii="Cambria Math" w:eastAsiaTheme="minorEastAsia" w:hAnsi="Cambria Math" w:cs="Times New Roman"/>
          </w:rPr>
          <m:t>m</m:t>
        </m:r>
        <m:r>
          <w:rPr>
            <w:rFonts w:ascii="Cambria Math" w:eastAsiaTheme="minorEastAsia" w:hAnsi="Cambria Math" w:cs="Times New Roman"/>
            <w:lang w:val="pt-BR"/>
          </w:rPr>
          <m:t>∈{1,...,</m:t>
        </m:r>
        <m:r>
          <w:rPr>
            <w:rFonts w:ascii="Cambria Math" w:eastAsiaTheme="minorEastAsia" w:hAnsi="Cambria Math" w:cs="Times New Roman"/>
          </w:rPr>
          <m:t>M</m:t>
        </m:r>
        <m:r>
          <w:rPr>
            <w:rFonts w:ascii="Cambria Math" w:eastAsiaTheme="minorEastAsia" w:hAnsi="Cambria Math" w:cs="Times New Roman"/>
            <w:lang w:val="pt-BR"/>
          </w:rPr>
          <m:t xml:space="preserve">} </m:t>
        </m:r>
      </m:oMath>
      <w:r w:rsidRPr="009A5DC2">
        <w:rPr>
          <w:rFonts w:ascii="Times New Roman" w:hAnsi="Times New Roman" w:cs="Times New Roman"/>
          <w:lang w:val="pt-BR"/>
        </w:rPr>
        <w:t xml:space="preserve">, representa a fase ótima que deve ser aplicada por cada elemento da RIS, considerando-se que se tem conhecimento perfeito da Informação do Estado do Canal (CSI). Dessa forma, </w:t>
      </w: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oMath>
      <w:r w:rsidRPr="009A5DC2">
        <w:rPr>
          <w:rFonts w:ascii="Times New Roman" w:hAnsi="Times New Roman" w:cs="Times New Roman"/>
          <w:lang w:val="pt-BR"/>
        </w:rPr>
        <w:t>​ é dada por:</w:t>
      </w:r>
    </w:p>
    <w:p w14:paraId="102E4F46" w14:textId="753AA8E1" w:rsidR="009A5DC2" w:rsidRPr="00B11F65" w:rsidRDefault="00000000" w:rsidP="00B11F65">
      <w:pPr>
        <w:ind w:left="1416" w:firstLine="708"/>
        <w:jc w:val="center"/>
        <w:rPr>
          <w:rFonts w:ascii="Times New Roman" w:eastAsiaTheme="minorEastAsia" w:hAnsi="Times New Roman" w:cs="Times New Roman"/>
          <w:iCs/>
          <w:lang w:val="pt-BR"/>
        </w:rPr>
      </w:pPr>
      <m:oMath>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g</m:t>
            </m:r>
          </m:e>
          <m:sub>
            <m:r>
              <w:rPr>
                <w:rFonts w:ascii="Cambria Math" w:hAnsi="Cambria Math" w:cs="Times New Roman"/>
              </w:rPr>
              <m:t>m</m:t>
            </m:r>
          </m:sub>
        </m:sSub>
        <m:r>
          <w:rPr>
            <w:rFonts w:ascii="Cambria Math" w:hAnsi="Cambria Math" w:cs="Times New Roman"/>
            <w:lang w:val="pt-BR"/>
          </w:rPr>
          <m:t>)-</m:t>
        </m:r>
        <m:r>
          <w:rPr>
            <w:rFonts w:ascii="Cambria Math" w:hAnsi="Cambria Math" w:cs="Times New Roman"/>
          </w:rPr>
          <m:t>arg</m:t>
        </m:r>
        <m:r>
          <w:rPr>
            <w:rFonts w:ascii="Cambria Math" w:hAnsi="Cambria Math" w:cs="Times New Roman"/>
            <w:lang w:val="pt-BR"/>
          </w:rPr>
          <m:t>(</m:t>
        </m:r>
        <m:sSub>
          <m:sSubPr>
            <m:ctrlPr>
              <w:rPr>
                <w:rFonts w:ascii="Cambria Math" w:hAnsi="Cambria Math" w:cs="Times New Roman"/>
                <w:i/>
                <w:iCs/>
              </w:rPr>
            </m:ctrlPr>
          </m:sSubPr>
          <m:e>
            <m:r>
              <m:rPr>
                <m:sty m:val="b"/>
              </m:rPr>
              <w:rPr>
                <w:rFonts w:ascii="Cambria Math" w:hAnsi="Cambria Math" w:cs="Times New Roman"/>
              </w:rPr>
              <m:t>h</m:t>
            </m:r>
          </m:e>
          <m:sub>
            <m:r>
              <w:rPr>
                <w:rFonts w:ascii="Cambria Math" w:hAnsi="Cambria Math" w:cs="Times New Roman"/>
              </w:rPr>
              <m:t>m</m:t>
            </m:r>
          </m:sub>
        </m:sSub>
        <m:r>
          <w:rPr>
            <w:rFonts w:ascii="Cambria Math" w:hAnsi="Cambria Math" w:cs="Times New Roman"/>
            <w:lang w:val="pt-BR"/>
          </w:rPr>
          <m:t>)</m:t>
        </m:r>
      </m:oMath>
      <w:r w:rsidR="00B11F65">
        <w:rPr>
          <w:rFonts w:ascii="Times New Roman" w:eastAsiaTheme="minorEastAsia" w:hAnsi="Times New Roman" w:cs="Times New Roman"/>
          <w:lang w:val="pt-BR"/>
        </w:rPr>
        <w:tab/>
      </w:r>
      <w:r w:rsidR="00B11F65">
        <w:rPr>
          <w:rFonts w:ascii="Times New Roman" w:eastAsiaTheme="minorEastAsia" w:hAnsi="Times New Roman" w:cs="Times New Roman"/>
          <w:lang w:val="pt-BR"/>
        </w:rPr>
        <w:tab/>
        <w:t xml:space="preserve">                                            </w:t>
      </w:r>
    </w:p>
    <w:p w14:paraId="6D39BB30" w14:textId="7B614750" w:rsidR="009A5DC2" w:rsidRPr="009A5DC2" w:rsidRDefault="009A5DC2" w:rsidP="00B11F65">
      <w:pPr>
        <w:jc w:val="both"/>
        <w:rPr>
          <w:rFonts w:ascii="Times New Roman" w:hAnsi="Times New Roman" w:cs="Times New Roman"/>
          <w:lang w:val="pt-BR"/>
        </w:rPr>
      </w:pPr>
      <w:r w:rsidRPr="009A5DC2">
        <w:rPr>
          <w:rFonts w:ascii="Times New Roman" w:hAnsi="Times New Roman" w:cs="Times New Roman"/>
          <w:lang w:val="pt-BR"/>
        </w:rPr>
        <w:t xml:space="preserve">Para modelar os canais de comunicação, consideram-se três tipos de desvanecimento: Rayleigh, </w:t>
      </w:r>
      <w:proofErr w:type="spellStart"/>
      <w:r w:rsidRPr="009A5DC2">
        <w:rPr>
          <w:rFonts w:ascii="Times New Roman" w:hAnsi="Times New Roman" w:cs="Times New Roman"/>
          <w:lang w:val="pt-BR"/>
        </w:rPr>
        <w:t>Rician</w:t>
      </w:r>
      <w:proofErr w:type="spellEnd"/>
      <w:r w:rsidRPr="009A5DC2">
        <w:rPr>
          <w:rFonts w:ascii="Times New Roman" w:hAnsi="Times New Roman" w:cs="Times New Roman"/>
          <w:lang w:val="pt-BR"/>
        </w:rPr>
        <w:t xml:space="preserve"> e linha de visão (</w:t>
      </w:r>
      <w:proofErr w:type="spellStart"/>
      <w:r w:rsidRPr="009A5DC2">
        <w:rPr>
          <w:rFonts w:ascii="Times New Roman" w:hAnsi="Times New Roman" w:cs="Times New Roman"/>
          <w:lang w:val="pt-BR"/>
        </w:rPr>
        <w:t>LoS</w:t>
      </w:r>
      <w:proofErr w:type="spellEnd"/>
      <w:r w:rsidRPr="009A5DC2">
        <w:rPr>
          <w:rFonts w:ascii="Times New Roman" w:hAnsi="Times New Roman" w:cs="Times New Roman"/>
          <w:lang w:val="pt-BR"/>
        </w:rPr>
        <w:t xml:space="preserve">), com o objetivo de representar diferentes condições de propagação do ambiente. A perda de </w:t>
      </w:r>
      <w:r>
        <w:rPr>
          <w:rFonts w:ascii="Times New Roman" w:hAnsi="Times New Roman" w:cs="Times New Roman"/>
          <w:lang w:val="pt-BR"/>
        </w:rPr>
        <w:t>percurso</w:t>
      </w:r>
      <w:r w:rsidRPr="009A5DC2">
        <w:rPr>
          <w:rFonts w:ascii="Times New Roman" w:hAnsi="Times New Roman" w:cs="Times New Roman"/>
          <w:lang w:val="pt-BR"/>
        </w:rPr>
        <w:t xml:space="preserve"> é dada por:</w:t>
      </w:r>
    </w:p>
    <w:p w14:paraId="157337CE" w14:textId="6768EC7A" w:rsidR="009A5DC2" w:rsidRPr="005A5887" w:rsidRDefault="00000000" w:rsidP="009A5DC2">
      <w:pPr>
        <w:jc w:val="both"/>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β</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sSubSup>
            <m:sSubSupPr>
              <m:ctrlPr>
                <w:rPr>
                  <w:rFonts w:ascii="Cambria Math" w:eastAsiaTheme="minorEastAsia" w:hAnsi="Cambria Math" w:cs="Times New Roman"/>
                  <w:i/>
                  <w:iCs/>
                </w:rPr>
              </m:ctrlPr>
            </m:sSubSupPr>
            <m:e>
              <m:r>
                <w:rPr>
                  <w:rFonts w:ascii="Cambria Math" w:eastAsiaTheme="minorEastAsia" w:hAnsi="Cambria Math" w:cs="Times New Roman"/>
                </w:rPr>
                <m:t>d</m:t>
              </m:r>
            </m:e>
            <m:sub>
              <m:r>
                <w:rPr>
                  <w:rFonts w:ascii="Cambria Math" w:eastAsiaTheme="minorEastAsia" w:hAnsi="Cambria Math" w:cs="Times New Roman"/>
                </w:rPr>
                <m:t>o</m:t>
              </m:r>
            </m:sub>
            <m:sup>
              <m:r>
                <w:rPr>
                  <w:rFonts w:ascii="Cambria Math" w:eastAsiaTheme="minorEastAsia" w:hAnsi="Cambria Math" w:cs="Times New Roman"/>
                </w:rPr>
                <m:t>α</m:t>
              </m:r>
            </m:sup>
          </m:sSubSup>
        </m:oMath>
      </m:oMathPara>
    </w:p>
    <w:p w14:paraId="555DD9C2" w14:textId="4B0B9D80"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onde </w:t>
      </w:r>
      <m:oMath>
        <m:r>
          <w:rPr>
            <w:rFonts w:ascii="Cambria Math" w:eastAsiaTheme="minorEastAsia" w:hAnsi="Cambria Math" w:cs="Times New Roman"/>
          </w:rPr>
          <m:t>l</m:t>
        </m:r>
        <m:r>
          <w:rPr>
            <w:rFonts w:ascii="Cambria Math" w:eastAsiaTheme="minorEastAsia" w:hAnsi="Cambria Math" w:cs="Times New Roman"/>
            <w:lang w:val="pt-BR"/>
          </w:rPr>
          <m:t>∈{h,g}</m:t>
        </m:r>
      </m:oMath>
      <w:r w:rsidRPr="009A5DC2">
        <w:rPr>
          <w:rFonts w:ascii="Times New Roman" w:hAnsi="Times New Roman" w:cs="Times New Roman"/>
          <w:lang w:val="pt-BR"/>
        </w:rPr>
        <w:t xml:space="preserve"> denota os cana</w:t>
      </w:r>
      <w:r w:rsidR="000B6498">
        <w:rPr>
          <w:rFonts w:ascii="Times New Roman" w:hAnsi="Times New Roman" w:cs="Times New Roman"/>
          <w:lang w:val="pt-BR"/>
        </w:rPr>
        <w:t>is</w:t>
      </w:r>
      <w:r w:rsidRPr="009A5DC2">
        <w:rPr>
          <w:rFonts w:ascii="Times New Roman"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o</m:t>
            </m:r>
          </m:sub>
        </m:sSub>
      </m:oMath>
      <w:r w:rsidRPr="009A5DC2">
        <w:rPr>
          <w:rFonts w:ascii="Times New Roman" w:hAnsi="Times New Roman" w:cs="Times New Roman"/>
          <w:lang w:val="pt-BR"/>
        </w:rPr>
        <w:t xml:space="preserve"> representa a distância euclidiana entre os elementos correspondentes, </w:t>
      </w:r>
      <w:r w:rsidRPr="005A5887">
        <w:rPr>
          <w:rFonts w:ascii="Times New Roman" w:eastAsiaTheme="minorEastAsia" w:hAnsi="Times New Roman" w:cs="Times New Roman"/>
          <w:i/>
          <w:iCs/>
        </w:rPr>
        <w:t>α</w:t>
      </w:r>
      <w:r w:rsidRPr="009A5DC2">
        <w:rPr>
          <w:rFonts w:ascii="Times New Roman" w:hAnsi="Times New Roman" w:cs="Times New Roman"/>
          <w:lang w:val="pt-BR"/>
        </w:rPr>
        <w:t xml:space="preserve"> representa o expoente de perda de </w:t>
      </w:r>
      <w:r>
        <w:rPr>
          <w:rFonts w:ascii="Times New Roman" w:hAnsi="Times New Roman" w:cs="Times New Roman"/>
          <w:lang w:val="pt-BR"/>
        </w:rPr>
        <w:t>percurso</w:t>
      </w:r>
      <w:r w:rsidRPr="009A5DC2">
        <w:rPr>
          <w:rFonts w:ascii="Times New Roman" w:hAnsi="Times New Roman" w:cs="Times New Roman"/>
          <w:lang w:val="pt-BR"/>
        </w:rPr>
        <w:t xml:space="preserve"> e </w:t>
      </w:r>
      <m:oMath>
        <m:sSub>
          <m:sSubPr>
            <m:ctrlPr>
              <w:rPr>
                <w:rFonts w:ascii="Cambria Math" w:eastAsiaTheme="minorEastAsia" w:hAnsi="Cambria Math" w:cs="Times New Roman"/>
                <w:i/>
                <w:iCs/>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​denota um fator constante de perda.</w:t>
      </w:r>
    </w:p>
    <w:p w14:paraId="0C77C6CA" w14:textId="587D06FA"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A SNR recebida pelo usuário </w:t>
      </w:r>
      <m:oMath>
        <m:r>
          <w:rPr>
            <w:rFonts w:ascii="Cambria Math" w:eastAsiaTheme="minorEastAsia" w:hAnsi="Cambria Math" w:cs="Times New Roman"/>
          </w:rPr>
          <m:t>γ</m:t>
        </m:r>
      </m:oMath>
      <w:r w:rsidRPr="009A5DC2">
        <w:rPr>
          <w:rFonts w:ascii="Times New Roman" w:eastAsiaTheme="minorEastAsia" w:hAnsi="Times New Roman" w:cs="Times New Roman"/>
          <w:iCs/>
          <w:lang w:val="pt-BR"/>
        </w:rPr>
        <w:t xml:space="preserve"> </w:t>
      </w:r>
      <w:r w:rsidRPr="009A5DC2">
        <w:rPr>
          <w:rFonts w:ascii="Times New Roman" w:hAnsi="Times New Roman" w:cs="Times New Roman"/>
          <w:lang w:val="pt-BR"/>
        </w:rPr>
        <w:t>é dada por:</w:t>
      </w:r>
    </w:p>
    <w:p w14:paraId="3951E514" w14:textId="77777777" w:rsidR="009A5DC2" w:rsidRPr="005A5887" w:rsidRDefault="009A5DC2" w:rsidP="009A5DC2">
      <w:pPr>
        <w:jc w:val="both"/>
        <w:rPr>
          <w:rFonts w:ascii="Times New Roman" w:eastAsiaTheme="minorEastAsia" w:hAnsi="Times New Roman" w:cs="Times New Roman"/>
        </w:rPr>
      </w:pPr>
      <m:oMathPara>
        <m:oMath>
          <m:r>
            <w:rPr>
              <w:rFonts w:ascii="Cambria Math" w:eastAsiaTheme="minorEastAsia" w:hAnsi="Cambria Math" w:cs="Times New Roman"/>
            </w:rPr>
            <m:t xml:space="preserve">γ = </m:t>
          </m:r>
          <m:f>
            <m:fPr>
              <m:ctrlPr>
                <w:rPr>
                  <w:rFonts w:ascii="Cambria Math" w:eastAsiaTheme="minorEastAsia" w:hAnsi="Cambria Math" w:cs="Times New Roman"/>
                  <w:i/>
                </w:rPr>
              </m:ctrlPr>
            </m:fPr>
            <m:num>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b/>
                          <w:bCs/>
                          <w:iCs/>
                        </w:rPr>
                      </m:ctrlPr>
                    </m:sSubSupPr>
                    <m:e>
                      <m:r>
                        <m:rPr>
                          <m:sty m:val="b"/>
                        </m:rPr>
                        <w:rPr>
                          <w:rFonts w:ascii="Cambria Math" w:hAnsi="Cambria Math" w:cs="Times New Roman"/>
                        </w:rPr>
                        <m:t>h</m:t>
                      </m:r>
                    </m:e>
                    <m:sub>
                      <m:r>
                        <m:rPr>
                          <m:sty m:val="b"/>
                        </m:rPr>
                        <w:rPr>
                          <w:rFonts w:ascii="Cambria Math" w:hAnsi="Cambria Math" w:cs="Times New Roman"/>
                        </w:rPr>
                        <m:t>r</m:t>
                      </m:r>
                    </m:sub>
                    <m:sup>
                      <m:r>
                        <m:rPr>
                          <m:sty m:val="b"/>
                        </m:rPr>
                        <w:rPr>
                          <w:rFonts w:ascii="Cambria Math" w:hAnsi="Cambria Math" w:cs="Times New Roman"/>
                        </w:rPr>
                        <m:t>H</m:t>
                      </m:r>
                    </m:sup>
                  </m:sSubSup>
                  <m:r>
                    <m:rPr>
                      <m:sty m:val="b"/>
                    </m:rPr>
                    <w:rPr>
                      <w:rFonts w:ascii="Cambria Math" w:hAnsi="Cambria Math" w:cs="Times New Roman"/>
                    </w:rPr>
                    <m:t>θg</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e>
                  </m:rad>
                  <m:r>
                    <w:rPr>
                      <w:rFonts w:ascii="Cambria Math" w:hAnsi="Cambria Math" w:cs="Times New Roman"/>
                    </w:rPr>
                    <m:t>|</m:t>
                  </m:r>
                </m:e>
                <m:sup>
                  <m:r>
                    <w:rPr>
                      <w:rFonts w:ascii="Cambria Math"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oMath>
      </m:oMathPara>
    </w:p>
    <w:p w14:paraId="4C17547D" w14:textId="199D8A7D" w:rsidR="009A5DC2" w:rsidRPr="009A5DC2" w:rsidRDefault="009A5DC2" w:rsidP="009A5DC2">
      <w:pPr>
        <w:jc w:val="both"/>
        <w:rPr>
          <w:rFonts w:ascii="Times New Roman" w:hAnsi="Times New Roman" w:cs="Times New Roman"/>
          <w:lang w:val="pt-BR"/>
        </w:rPr>
      </w:pPr>
      <w:r w:rsidRPr="009A5DC2">
        <w:rPr>
          <w:rFonts w:ascii="Times New Roman" w:hAnsi="Times New Roman" w:cs="Times New Roman"/>
          <w:lang w:val="pt-BR"/>
        </w:rPr>
        <w:t xml:space="preserve">Finalmente, a taxa de dados </w:t>
      </w:r>
      <m:oMath>
        <m:r>
          <w:rPr>
            <w:rFonts w:ascii="Cambria Math" w:hAnsi="Cambria Math" w:cs="Times New Roman"/>
          </w:rPr>
          <m:t>r</m:t>
        </m:r>
      </m:oMath>
      <w:r w:rsidRPr="009A5DC2">
        <w:rPr>
          <w:rFonts w:ascii="Times New Roman" w:hAnsi="Times New Roman" w:cs="Times New Roman"/>
          <w:lang w:val="pt-BR"/>
        </w:rPr>
        <w:t xml:space="preserve"> experimentada pelo usuário é:</w:t>
      </w:r>
    </w:p>
    <w:p w14:paraId="1994FFF2" w14:textId="77777777" w:rsidR="009A5DC2" w:rsidRPr="006F66A1" w:rsidRDefault="009A5DC2" w:rsidP="009A5DC2">
      <w:pPr>
        <w:jc w:val="both"/>
        <w:rPr>
          <w:rFonts w:ascii="Times New Roman" w:eastAsiaTheme="minorEastAsia" w:hAnsi="Times New Roman" w:cs="Times New Roman"/>
          <w:i/>
        </w:rPr>
      </w:pPr>
      <m:oMathPara>
        <m:oMath>
          <m:r>
            <w:rPr>
              <w:rFonts w:ascii="Cambria Math" w:hAnsi="Cambria Math" w:cs="Times New Roman"/>
            </w:rPr>
            <m:t xml:space="preserve">r =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(1 + γ)</m:t>
          </m:r>
        </m:oMath>
      </m:oMathPara>
    </w:p>
    <w:p w14:paraId="1BF58265" w14:textId="77777777" w:rsidR="006F66A1" w:rsidRPr="00AC436D" w:rsidRDefault="006F66A1" w:rsidP="009A5DC2">
      <w:pPr>
        <w:jc w:val="both"/>
        <w:rPr>
          <w:rFonts w:ascii="Times New Roman" w:eastAsiaTheme="minorEastAsia" w:hAnsi="Times New Roman" w:cs="Times New Roman"/>
          <w:i/>
        </w:rPr>
      </w:pPr>
    </w:p>
    <w:p w14:paraId="6091641E" w14:textId="6A7DE2A9" w:rsidR="00807DED" w:rsidRPr="00807DED" w:rsidRDefault="00807DED" w:rsidP="00807DED">
      <w:pPr>
        <w:pStyle w:val="Prrafodelista"/>
        <w:numPr>
          <w:ilvl w:val="0"/>
          <w:numId w:val="2"/>
        </w:numPr>
        <w:jc w:val="both"/>
        <w:rPr>
          <w:rFonts w:ascii="Times New Roman" w:hAnsi="Times New Roman" w:cs="Times New Roman"/>
          <w:b/>
          <w:bCs/>
        </w:rPr>
      </w:pPr>
      <w:r w:rsidRPr="00807DED">
        <w:rPr>
          <w:rFonts w:ascii="Times New Roman" w:hAnsi="Times New Roman" w:cs="Times New Roman"/>
          <w:b/>
          <w:bCs/>
        </w:rPr>
        <w:t>Algoritmo</w:t>
      </w:r>
      <w:r>
        <w:rPr>
          <w:rFonts w:ascii="Times New Roman" w:hAnsi="Times New Roman" w:cs="Times New Roman"/>
          <w:b/>
          <w:bCs/>
        </w:rPr>
        <w:t xml:space="preserve"> </w:t>
      </w:r>
    </w:p>
    <w:p w14:paraId="44BAAF96" w14:textId="5F497FC2" w:rsidR="00807DED" w:rsidRP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lastRenderedPageBreak/>
        <w:t xml:space="preserve">O principal objetivo deste projeto é avaliar como o aumento do número de elementos </w:t>
      </w:r>
      <w:r w:rsidRPr="00807DED">
        <w:rPr>
          <w:rFonts w:ascii="Times New Roman" w:hAnsi="Times New Roman" w:cs="Times New Roman"/>
          <w:i/>
          <w:iCs/>
          <w:lang w:val="pt-BR"/>
        </w:rPr>
        <w:t>M</w:t>
      </w:r>
      <w:r w:rsidRPr="00807DED">
        <w:rPr>
          <w:rFonts w:ascii="Times New Roman" w:hAnsi="Times New Roman" w:cs="Times New Roman"/>
          <w:lang w:val="pt-BR"/>
        </w:rPr>
        <w:t xml:space="preserve"> que compõem uma RIS influencia diretamente na taxa de dados experimentada pelo usuário. Os parâmetros de simulação considerados são apresentados na Tabela 1, onde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Pr>
          <w:rFonts w:ascii="Times New Roman" w:eastAsiaTheme="minorEastAsia" w:hAnsi="Times New Roman" w:cs="Times New Roman"/>
          <w:lang w:val="pt-BR"/>
        </w:rPr>
        <w:t>e</w:t>
      </w:r>
      <w:r w:rsidRPr="00807DED">
        <w:rPr>
          <w:rFonts w:ascii="Times New Roman" w:eastAsiaTheme="minorEastAsia" w:hAnsi="Times New Roman" w:cs="Times New Roman"/>
          <w:lang w:val="pt-BR"/>
        </w:rPr>
        <w:t xml:space="preserve"> </w:t>
      </w:r>
      <m:oMath>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lang w:val="pt-BR"/>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lang w:val="pt-BR"/>
          </w:rPr>
          <m:t>)</m:t>
        </m:r>
      </m:oMath>
      <w:r w:rsidRPr="00807DED">
        <w:rPr>
          <w:rFonts w:ascii="Times New Roman" w:eastAsiaTheme="minorEastAsia" w:hAnsi="Times New Roman" w:cs="Times New Roman"/>
          <w:lang w:val="pt-BR"/>
        </w:rPr>
        <w:t xml:space="preserve"> </w:t>
      </w:r>
      <w:r w:rsidRPr="00807DED">
        <w:rPr>
          <w:rFonts w:ascii="Times New Roman" w:hAnsi="Times New Roman" w:cs="Times New Roman"/>
          <w:lang w:val="pt-BR"/>
        </w:rPr>
        <w:t>representam as posições da BS, da RIS e do usuário, respectivamente. Os expoentes de perda de trajetória para os três modelos de canal</w:t>
      </w:r>
      <w:r>
        <w:rPr>
          <w:rFonts w:ascii="Times New Roman" w:hAnsi="Times New Roman" w:cs="Times New Roman"/>
          <w:lang w:val="pt-BR"/>
        </w:rPr>
        <w:t xml:space="preserve"> (</w:t>
      </w:r>
      <w:r w:rsidRPr="00807DED">
        <w:rPr>
          <w:rFonts w:ascii="Times New Roman" w:hAnsi="Times New Roman" w:cs="Times New Roman"/>
          <w:lang w:val="pt-BR"/>
        </w:rPr>
        <w:t>espaço livre (</w:t>
      </w:r>
      <w:proofErr w:type="spellStart"/>
      <w:r w:rsidRPr="00807DED">
        <w:rPr>
          <w:rFonts w:ascii="Times New Roman" w:hAnsi="Times New Roman" w:cs="Times New Roman"/>
          <w:lang w:val="pt-BR"/>
        </w:rPr>
        <w:t>LoS</w:t>
      </w:r>
      <w:proofErr w:type="spellEnd"/>
      <w:r w:rsidRPr="00807DED">
        <w:rPr>
          <w:rFonts w:ascii="Times New Roman" w:hAnsi="Times New Roman" w:cs="Times New Roman"/>
          <w:lang w:val="pt-BR"/>
        </w:rPr>
        <w:t xml:space="preserve">), desvanecimento </w:t>
      </w:r>
      <w:proofErr w:type="spellStart"/>
      <w:r w:rsidRPr="00807DED">
        <w:rPr>
          <w:rFonts w:ascii="Times New Roman" w:hAnsi="Times New Roman" w:cs="Times New Roman"/>
          <w:lang w:val="pt-BR"/>
        </w:rPr>
        <w:t>Rician</w:t>
      </w:r>
      <w:proofErr w:type="spellEnd"/>
      <w:r w:rsidRPr="00807DED">
        <w:rPr>
          <w:rFonts w:ascii="Times New Roman" w:hAnsi="Times New Roman" w:cs="Times New Roman"/>
          <w:lang w:val="pt-BR"/>
        </w:rPr>
        <w:t xml:space="preserve"> e desvanecimento Rayleigh</w:t>
      </w:r>
      <w:r>
        <w:rPr>
          <w:rFonts w:ascii="Times New Roman" w:hAnsi="Times New Roman" w:cs="Times New Roman"/>
          <w:lang w:val="pt-BR"/>
        </w:rPr>
        <w:t>)</w:t>
      </w:r>
      <w:r w:rsidRPr="00807DED">
        <w:rPr>
          <w:rFonts w:ascii="Times New Roman" w:hAnsi="Times New Roman" w:cs="Times New Roman"/>
          <w:lang w:val="pt-BR"/>
        </w:rPr>
        <w:t xml:space="preserve"> são denotados por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1</m:t>
            </m:r>
          </m:sub>
        </m:sSub>
      </m:oMath>
      <w:r w:rsidRPr="00807DED">
        <w:rPr>
          <w:rFonts w:ascii="Times New Roman" w:eastAsiaTheme="minorEastAsia" w:hAnsi="Times New Roman" w:cs="Times New Roman"/>
          <w:lang w:val="pt-BR"/>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2</m:t>
            </m:r>
          </m:sub>
        </m:sSub>
      </m:oMath>
      <w:r w:rsidRPr="00807DED">
        <w:rPr>
          <w:rFonts w:ascii="Times New Roman" w:eastAsiaTheme="minorEastAsia" w:hAnsi="Times New Roman" w:cs="Times New Roman"/>
          <w:lang w:val="pt-BR"/>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pt-BR"/>
              </w:rPr>
              <m:t>3</m:t>
            </m:r>
          </m:sub>
        </m:sSub>
      </m:oMath>
      <w:r w:rsidRPr="00807DED">
        <w:rPr>
          <w:rFonts w:ascii="Times New Roman" w:hAnsi="Times New Roman" w:cs="Times New Roman"/>
          <w:lang w:val="pt-BR"/>
        </w:rPr>
        <w:t xml:space="preserve">​. Para o caso de desvanecimento </w:t>
      </w:r>
      <w:proofErr w:type="spellStart"/>
      <w:r w:rsidRPr="00807DED">
        <w:rPr>
          <w:rFonts w:ascii="Times New Roman" w:hAnsi="Times New Roman" w:cs="Times New Roman"/>
          <w:lang w:val="pt-BR"/>
        </w:rPr>
        <w:t>Rician</w:t>
      </w:r>
      <w:proofErr w:type="spellEnd"/>
      <w:r w:rsidRPr="00807DED">
        <w:rPr>
          <w:rFonts w:ascii="Times New Roman" w:hAnsi="Times New Roman" w:cs="Times New Roman"/>
          <w:lang w:val="pt-BR"/>
        </w:rPr>
        <w:t xml:space="preserve">, </w:t>
      </w:r>
      <w:r w:rsidRPr="00807DED">
        <w:rPr>
          <w:rFonts w:ascii="Times New Roman" w:hAnsi="Times New Roman" w:cs="Times New Roman"/>
          <w:i/>
          <w:iCs/>
          <w:lang w:val="pt-BR"/>
        </w:rPr>
        <w:t>K</w:t>
      </w:r>
      <w:r w:rsidRPr="00807DED">
        <w:rPr>
          <w:rFonts w:ascii="Times New Roman" w:hAnsi="Times New Roman" w:cs="Times New Roman"/>
          <w:lang w:val="pt-BR"/>
        </w:rPr>
        <w:t xml:space="preserve"> denota a razão entre a potência das componentes </w:t>
      </w:r>
      <w:proofErr w:type="spellStart"/>
      <w:r w:rsidRPr="00807DED">
        <w:rPr>
          <w:rFonts w:ascii="Times New Roman" w:hAnsi="Times New Roman" w:cs="Times New Roman"/>
          <w:lang w:val="pt-BR"/>
        </w:rPr>
        <w:t>LoS</w:t>
      </w:r>
      <w:proofErr w:type="spellEnd"/>
      <w:r w:rsidRPr="00807DED">
        <w:rPr>
          <w:rFonts w:ascii="Times New Roman" w:hAnsi="Times New Roman" w:cs="Times New Roman"/>
          <w:lang w:val="pt-BR"/>
        </w:rPr>
        <w:t xml:space="preserve"> e </w:t>
      </w:r>
      <w:r>
        <w:rPr>
          <w:rFonts w:ascii="Times New Roman" w:hAnsi="Times New Roman" w:cs="Times New Roman"/>
          <w:lang w:val="pt-BR"/>
        </w:rPr>
        <w:t xml:space="preserve">não </w:t>
      </w:r>
      <w:proofErr w:type="spellStart"/>
      <w:r w:rsidRPr="00807DED">
        <w:rPr>
          <w:rFonts w:ascii="Times New Roman" w:hAnsi="Times New Roman" w:cs="Times New Roman"/>
          <w:lang w:val="pt-BR"/>
        </w:rPr>
        <w:t>LoS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NLoS</w:t>
      </w:r>
      <w:proofErr w:type="spellEnd"/>
      <w:r>
        <w:rPr>
          <w:rFonts w:ascii="Times New Roman" w:hAnsi="Times New Roman" w:cs="Times New Roman"/>
          <w:lang w:val="pt-BR"/>
        </w:rPr>
        <w:t>)</w:t>
      </w:r>
      <w:r w:rsidRPr="00807DED">
        <w:rPr>
          <w:rFonts w:ascii="Times New Roman" w:hAnsi="Times New Roman" w:cs="Times New Roman"/>
          <w:lang w:val="pt-BR"/>
        </w:rPr>
        <w:t>.</w:t>
      </w:r>
    </w:p>
    <w:p w14:paraId="3A5109AA" w14:textId="2DBBC206" w:rsidR="00807DED" w:rsidRPr="00807DED" w:rsidRDefault="00807DED" w:rsidP="00807DED">
      <w:pPr>
        <w:pStyle w:val="Descripcin"/>
        <w:keepNext/>
        <w:jc w:val="center"/>
        <w:rPr>
          <w:color w:val="auto"/>
        </w:rPr>
      </w:pPr>
      <w:proofErr w:type="spellStart"/>
      <w:r w:rsidRPr="00807DED">
        <w:rPr>
          <w:color w:val="auto"/>
        </w:rPr>
        <w:t>Tabela</w:t>
      </w:r>
      <w:proofErr w:type="spellEnd"/>
      <w:r w:rsidRPr="00807DED">
        <w:rPr>
          <w:color w:val="auto"/>
        </w:rPr>
        <w:t xml:space="preserve"> </w:t>
      </w:r>
      <w:r w:rsidRPr="00807DED">
        <w:rPr>
          <w:color w:val="auto"/>
        </w:rPr>
        <w:fldChar w:fldCharType="begin"/>
      </w:r>
      <w:r w:rsidRPr="00807DED">
        <w:rPr>
          <w:color w:val="auto"/>
        </w:rPr>
        <w:instrText xml:space="preserve"> SEQ Tabela \* ARABIC </w:instrText>
      </w:r>
      <w:r w:rsidRPr="00807DED">
        <w:rPr>
          <w:color w:val="auto"/>
        </w:rPr>
        <w:fldChar w:fldCharType="separate"/>
      </w:r>
      <w:r w:rsidR="00A67216">
        <w:rPr>
          <w:noProof/>
          <w:color w:val="auto"/>
        </w:rPr>
        <w:t>1</w:t>
      </w:r>
      <w:r w:rsidRPr="00807DED">
        <w:rPr>
          <w:color w:val="auto"/>
        </w:rPr>
        <w:fldChar w:fldCharType="end"/>
      </w:r>
      <w:r w:rsidRPr="00807DED">
        <w:rPr>
          <w:color w:val="auto"/>
        </w:rPr>
        <w:t xml:space="preserve">: </w:t>
      </w:r>
      <w:proofErr w:type="spellStart"/>
      <w:r w:rsidRPr="00807DED">
        <w:rPr>
          <w:color w:val="auto"/>
        </w:rPr>
        <w:t>Parâmetros</w:t>
      </w:r>
      <w:proofErr w:type="spellEnd"/>
      <w:r w:rsidRPr="00807DED">
        <w:rPr>
          <w:color w:val="auto"/>
        </w:rPr>
        <w:t xml:space="preserve"> de </w:t>
      </w:r>
      <w:proofErr w:type="spellStart"/>
      <w:r w:rsidRPr="00807DED">
        <w:rPr>
          <w:color w:val="auto"/>
        </w:rPr>
        <w:t>Simulação</w:t>
      </w:r>
      <w:proofErr w:type="spellEnd"/>
    </w:p>
    <w:tbl>
      <w:tblPr>
        <w:tblStyle w:val="Tablaconcuadrcula"/>
        <w:tblW w:w="0" w:type="auto"/>
        <w:jc w:val="center"/>
        <w:tblLook w:val="04A0" w:firstRow="1" w:lastRow="0" w:firstColumn="1" w:lastColumn="0" w:noHBand="0" w:noVBand="1"/>
      </w:tblPr>
      <w:tblGrid>
        <w:gridCol w:w="1440"/>
        <w:gridCol w:w="1260"/>
      </w:tblGrid>
      <w:tr w:rsidR="00807DED" w:rsidRPr="0065294D" w14:paraId="62F419CE" w14:textId="77777777" w:rsidTr="00807DED">
        <w:trPr>
          <w:jc w:val="center"/>
        </w:trPr>
        <w:tc>
          <w:tcPr>
            <w:tcW w:w="1440" w:type="dxa"/>
          </w:tcPr>
          <w:p w14:paraId="1FFF8545" w14:textId="162DCFB4" w:rsidR="00807DED" w:rsidRPr="0065294D" w:rsidRDefault="00807DED">
            <w:pPr>
              <w:jc w:val="both"/>
              <w:rPr>
                <w:rFonts w:ascii="Times New Roman" w:eastAsiaTheme="minorEastAsia" w:hAnsi="Times New Roman" w:cs="Times New Roman"/>
                <w:i/>
              </w:rPr>
            </w:pPr>
            <w:proofErr w:type="spellStart"/>
            <w:r w:rsidRPr="00807DED">
              <w:rPr>
                <w:rFonts w:ascii="Times New Roman" w:eastAsiaTheme="minorEastAsia" w:hAnsi="Times New Roman" w:cs="Times New Roman"/>
                <w:i/>
              </w:rPr>
              <w:t>Parâmetros</w:t>
            </w:r>
            <w:proofErr w:type="spellEnd"/>
          </w:p>
        </w:tc>
        <w:tc>
          <w:tcPr>
            <w:tcW w:w="1260" w:type="dxa"/>
          </w:tcPr>
          <w:p w14:paraId="28A87DF0" w14:textId="77777777" w:rsidR="00807DED" w:rsidRPr="0065294D" w:rsidRDefault="00807DED">
            <w:pPr>
              <w:jc w:val="center"/>
              <w:rPr>
                <w:rFonts w:ascii="Times New Roman" w:eastAsiaTheme="minorEastAsia" w:hAnsi="Times New Roman" w:cs="Times New Roman"/>
                <w:i/>
              </w:rPr>
            </w:pPr>
            <w:r w:rsidRPr="0065294D">
              <w:rPr>
                <w:rFonts w:ascii="Times New Roman" w:eastAsiaTheme="minorEastAsia" w:hAnsi="Times New Roman" w:cs="Times New Roman"/>
                <w:i/>
              </w:rPr>
              <w:t>Valor</w:t>
            </w:r>
          </w:p>
        </w:tc>
      </w:tr>
      <w:tr w:rsidR="00807DED" w:rsidRPr="0065294D" w14:paraId="2FDE1E8C" w14:textId="77777777" w:rsidTr="00807DED">
        <w:trPr>
          <w:jc w:val="center"/>
        </w:trPr>
        <w:tc>
          <w:tcPr>
            <w:tcW w:w="1440" w:type="dxa"/>
          </w:tcPr>
          <w:p w14:paraId="498EE7D3" w14:textId="77777777" w:rsidR="00807DED" w:rsidRPr="0065294D" w:rsidRDefault="00807DED">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BS</m:t>
                    </m:r>
                  </m:sub>
                </m:sSub>
                <m:r>
                  <w:rPr>
                    <w:rFonts w:ascii="Cambria Math" w:eastAsiaTheme="minorEastAsia" w:hAnsi="Cambria Math" w:cs="Times New Roman"/>
                  </w:rPr>
                  <m:t>)</m:t>
                </m:r>
              </m:oMath>
            </m:oMathPara>
          </w:p>
        </w:tc>
        <w:tc>
          <w:tcPr>
            <w:tcW w:w="1260" w:type="dxa"/>
          </w:tcPr>
          <w:p w14:paraId="0A606A63" w14:textId="77777777" w:rsidR="00807DED" w:rsidRPr="0065294D" w:rsidRDefault="00807DED">
            <w:pPr>
              <w:jc w:val="center"/>
              <w:rPr>
                <w:rFonts w:ascii="Times New Roman" w:eastAsiaTheme="minorEastAsia" w:hAnsi="Times New Roman" w:cs="Times New Roman"/>
                <w:iCs/>
              </w:rPr>
            </w:pPr>
            <m:oMath>
              <m:r>
                <m:rPr>
                  <m:sty m:val="p"/>
                </m:rPr>
                <w:rPr>
                  <w:rFonts w:ascii="Cambria Math" w:eastAsiaTheme="minorEastAsia" w:hAnsi="Cambria Math" w:cs="Times New Roman"/>
                </w:rPr>
                <m:t>(0, 0)</m:t>
              </m:r>
            </m:oMath>
            <w:r w:rsidRPr="0065294D">
              <w:rPr>
                <w:rFonts w:ascii="Times New Roman" w:eastAsiaTheme="minorEastAsia" w:hAnsi="Times New Roman" w:cs="Times New Roman"/>
                <w:iCs/>
              </w:rPr>
              <w:t xml:space="preserve"> m</w:t>
            </w:r>
          </w:p>
        </w:tc>
      </w:tr>
      <w:tr w:rsidR="00807DED" w:rsidRPr="0065294D" w14:paraId="419AA083" w14:textId="77777777" w:rsidTr="00807DED">
        <w:trPr>
          <w:jc w:val="center"/>
        </w:trPr>
        <w:tc>
          <w:tcPr>
            <w:tcW w:w="1440" w:type="dxa"/>
          </w:tcPr>
          <w:p w14:paraId="7746BEBE" w14:textId="77777777" w:rsidR="00807DED" w:rsidRPr="0065294D" w:rsidRDefault="00807DED">
            <w:pPr>
              <w:jc w:val="both"/>
              <w:rPr>
                <w:rFonts w:ascii="Times New Roman" w:eastAsiaTheme="minorEastAsia"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RIS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RIS</m:t>
                    </m:r>
                  </m:sub>
                </m:sSub>
                <m:r>
                  <w:rPr>
                    <w:rFonts w:ascii="Cambria Math" w:eastAsiaTheme="minorEastAsia" w:hAnsi="Cambria Math" w:cs="Times New Roman"/>
                  </w:rPr>
                  <m:t>)</m:t>
                </m:r>
              </m:oMath>
            </m:oMathPara>
          </w:p>
        </w:tc>
        <w:tc>
          <w:tcPr>
            <w:tcW w:w="1260" w:type="dxa"/>
          </w:tcPr>
          <w:p w14:paraId="70106FB7" w14:textId="77777777" w:rsidR="00807DED" w:rsidRPr="0065294D" w:rsidRDefault="00807DED">
            <w:pPr>
              <w:jc w:val="center"/>
              <w:rPr>
                <w:rFonts w:ascii="Times New Roman" w:eastAsiaTheme="minorEastAsia" w:hAnsi="Times New Roman" w:cs="Times New Roman"/>
                <w:iCs/>
              </w:rPr>
            </w:pPr>
            <m:oMath>
              <m:r>
                <m:rPr>
                  <m:sty m:val="p"/>
                </m:rPr>
                <w:rPr>
                  <w:rFonts w:ascii="Cambria Math" w:eastAsiaTheme="minorEastAsia" w:hAnsi="Cambria Math" w:cs="Times New Roman"/>
                </w:rPr>
                <m:t>(0, 50)</m:t>
              </m:r>
            </m:oMath>
            <w:r w:rsidRPr="0065294D">
              <w:rPr>
                <w:rFonts w:ascii="Times New Roman" w:eastAsiaTheme="minorEastAsia" w:hAnsi="Times New Roman" w:cs="Times New Roman"/>
                <w:iCs/>
              </w:rPr>
              <w:t xml:space="preserve"> m</w:t>
            </w:r>
          </w:p>
        </w:tc>
      </w:tr>
      <w:tr w:rsidR="00807DED" w:rsidRPr="0065294D" w14:paraId="4774C78F" w14:textId="77777777" w:rsidTr="00807DED">
        <w:trPr>
          <w:jc w:val="center"/>
        </w:trPr>
        <w:tc>
          <w:tcPr>
            <w:tcW w:w="1440" w:type="dxa"/>
          </w:tcPr>
          <w:p w14:paraId="640CA41E" w14:textId="77777777" w:rsidR="00807DED" w:rsidRPr="0065294D" w:rsidRDefault="00807DED">
            <w:pPr>
              <w:jc w:val="both"/>
              <w:rPr>
                <w:rFonts w:ascii="Times New Roman" w:eastAsia="Times New Roman" w:hAnsi="Times New Roman" w:cs="Times New Roman"/>
                <w:i/>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U</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U</m:t>
                    </m:r>
                  </m:sub>
                </m:sSub>
                <m:r>
                  <w:rPr>
                    <w:rFonts w:ascii="Cambria Math" w:eastAsiaTheme="minorEastAsia" w:hAnsi="Cambria Math" w:cs="Times New Roman"/>
                  </w:rPr>
                  <m:t>)</m:t>
                </m:r>
              </m:oMath>
            </m:oMathPara>
          </w:p>
        </w:tc>
        <w:tc>
          <w:tcPr>
            <w:tcW w:w="1260" w:type="dxa"/>
          </w:tcPr>
          <w:p w14:paraId="54010DA1" w14:textId="77777777" w:rsidR="00807DED" w:rsidRPr="0065294D" w:rsidRDefault="00807DED">
            <w:pPr>
              <w:jc w:val="center"/>
              <w:rPr>
                <w:rFonts w:ascii="Times New Roman" w:eastAsia="Times New Roman" w:hAnsi="Times New Roman" w:cs="Times New Roman"/>
                <w:iCs/>
              </w:rPr>
            </w:pPr>
            <m:oMath>
              <m:r>
                <m:rPr>
                  <m:sty m:val="p"/>
                </m:rPr>
                <w:rPr>
                  <w:rFonts w:ascii="Cambria Math" w:eastAsiaTheme="minorEastAsia" w:hAnsi="Cambria Math" w:cs="Times New Roman"/>
                </w:rPr>
                <m:t>(50, 5)</m:t>
              </m:r>
            </m:oMath>
            <w:r w:rsidRPr="0065294D">
              <w:rPr>
                <w:rFonts w:ascii="Times New Roman" w:eastAsia="Times New Roman" w:hAnsi="Times New Roman" w:cs="Times New Roman"/>
                <w:iCs/>
              </w:rPr>
              <w:t xml:space="preserve"> m</w:t>
            </w:r>
          </w:p>
        </w:tc>
      </w:tr>
      <w:tr w:rsidR="00807DED" w:rsidRPr="0065294D" w14:paraId="2046F2FD" w14:textId="77777777" w:rsidTr="00807DED">
        <w:trPr>
          <w:jc w:val="center"/>
        </w:trPr>
        <w:tc>
          <w:tcPr>
            <w:tcW w:w="1440" w:type="dxa"/>
          </w:tcPr>
          <w:p w14:paraId="66188C44" w14:textId="77777777" w:rsidR="00807DED" w:rsidRPr="0065294D" w:rsidRDefault="00000000">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m:oMathPara>
          </w:p>
        </w:tc>
        <w:tc>
          <w:tcPr>
            <w:tcW w:w="1260" w:type="dxa"/>
          </w:tcPr>
          <w:p w14:paraId="56CA0C4E" w14:textId="77777777" w:rsidR="00807DED" w:rsidRPr="0065294D" w:rsidRDefault="00807DED">
            <w:pPr>
              <w:jc w:val="center"/>
              <w:rPr>
                <w:rFonts w:ascii="Times New Roman" w:eastAsiaTheme="minorEastAsia" w:hAnsi="Times New Roman" w:cs="Times New Roman"/>
                <w:iCs/>
              </w:rPr>
            </w:pPr>
            <w:r>
              <w:rPr>
                <w:rFonts w:ascii="Times New Roman" w:eastAsiaTheme="minorEastAsia" w:hAnsi="Times New Roman" w:cs="Times New Roman"/>
                <w:iCs/>
              </w:rPr>
              <w:t xml:space="preserve">50 </w:t>
            </w:r>
            <w:proofErr w:type="spellStart"/>
            <w:r>
              <w:rPr>
                <w:rFonts w:ascii="Times New Roman" w:eastAsiaTheme="minorEastAsia" w:hAnsi="Times New Roman" w:cs="Times New Roman"/>
                <w:iCs/>
              </w:rPr>
              <w:t>mW</w:t>
            </w:r>
            <w:proofErr w:type="spellEnd"/>
          </w:p>
        </w:tc>
      </w:tr>
      <w:tr w:rsidR="00807DED" w:rsidRPr="0065294D" w14:paraId="62737526" w14:textId="77777777" w:rsidTr="00807DED">
        <w:trPr>
          <w:jc w:val="center"/>
        </w:trPr>
        <w:tc>
          <w:tcPr>
            <w:tcW w:w="1440" w:type="dxa"/>
          </w:tcPr>
          <w:p w14:paraId="5CE4A7E7" w14:textId="77777777" w:rsidR="00807DED" w:rsidRPr="0065294D" w:rsidRDefault="00000000">
            <w:pPr>
              <w:jc w:val="both"/>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o</m:t>
                    </m:r>
                  </m:sub>
                </m:sSub>
              </m:oMath>
            </m:oMathPara>
          </w:p>
        </w:tc>
        <w:tc>
          <w:tcPr>
            <w:tcW w:w="1260" w:type="dxa"/>
          </w:tcPr>
          <w:p w14:paraId="4B0A3A82" w14:textId="77777777" w:rsidR="00807DED" w:rsidRPr="0065294D" w:rsidRDefault="00807DED">
            <w:pPr>
              <w:jc w:val="center"/>
              <w:rPr>
                <w:rFonts w:ascii="Times New Roman" w:eastAsiaTheme="minorEastAsia" w:hAnsi="Times New Roman" w:cs="Times New Roman"/>
                <w:i/>
              </w:rPr>
            </w:pPr>
            <w:r>
              <w:rPr>
                <w:rFonts w:ascii="Times New Roman" w:eastAsiaTheme="minorEastAsia" w:hAnsi="Times New Roman" w:cs="Times New Roman"/>
                <w:iCs/>
              </w:rPr>
              <w:t>-30 dB</w:t>
            </w:r>
          </w:p>
        </w:tc>
      </w:tr>
      <w:tr w:rsidR="00807DED" w:rsidRPr="0065294D" w14:paraId="16016D0F" w14:textId="77777777" w:rsidTr="00807DED">
        <w:trPr>
          <w:jc w:val="center"/>
        </w:trPr>
        <w:tc>
          <w:tcPr>
            <w:tcW w:w="1440" w:type="dxa"/>
          </w:tcPr>
          <w:p w14:paraId="0262308A" w14:textId="77777777" w:rsidR="00807DED" w:rsidRPr="0065294D" w:rsidRDefault="00000000">
            <w:pPr>
              <w:jc w:val="both"/>
              <w:rPr>
                <w:rFonts w:ascii="Times New Roman" w:eastAsiaTheme="minorEastAsia" w:hAnsi="Times New Roman" w:cs="Times New Roman"/>
                <w:i/>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m:oMathPara>
          </w:p>
        </w:tc>
        <w:tc>
          <w:tcPr>
            <w:tcW w:w="1260" w:type="dxa"/>
          </w:tcPr>
          <w:p w14:paraId="0BECC9AB" w14:textId="77777777" w:rsidR="00807DED" w:rsidRPr="0065294D" w:rsidRDefault="00807DED">
            <w:pPr>
              <w:jc w:val="center"/>
              <w:rPr>
                <w:rFonts w:ascii="Times New Roman" w:eastAsiaTheme="minorEastAsia" w:hAnsi="Times New Roman" w:cs="Times New Roman"/>
                <w:i/>
              </w:rPr>
            </w:pPr>
            <w:r>
              <w:rPr>
                <w:rFonts w:ascii="Times New Roman" w:eastAsiaTheme="minorEastAsia" w:hAnsi="Times New Roman" w:cs="Times New Roman"/>
                <w:iCs/>
              </w:rPr>
              <w:t>-90 dBm</w:t>
            </w:r>
          </w:p>
        </w:tc>
      </w:tr>
      <w:tr w:rsidR="00807DED" w:rsidRPr="0065294D" w14:paraId="38909117" w14:textId="77777777" w:rsidTr="00807DED">
        <w:trPr>
          <w:jc w:val="center"/>
        </w:trPr>
        <w:tc>
          <w:tcPr>
            <w:tcW w:w="1440" w:type="dxa"/>
          </w:tcPr>
          <w:p w14:paraId="4FC18AF1" w14:textId="77777777" w:rsidR="00807DED" w:rsidRPr="0065294D" w:rsidRDefault="00000000">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1</m:t>
                    </m:r>
                  </m:sub>
                </m:sSub>
              </m:oMath>
            </m:oMathPara>
          </w:p>
        </w:tc>
        <w:tc>
          <w:tcPr>
            <w:tcW w:w="1260" w:type="dxa"/>
          </w:tcPr>
          <w:p w14:paraId="4EFC1A7A" w14:textId="77777777" w:rsidR="00807DED" w:rsidRPr="0065294D" w:rsidRDefault="00807DED">
            <w:pPr>
              <w:jc w:val="center"/>
              <w:rPr>
                <w:rFonts w:ascii="Times New Roman" w:eastAsiaTheme="minorEastAsia" w:hAnsi="Times New Roman" w:cs="Times New Roman"/>
                <w:iCs/>
              </w:rPr>
            </w:pPr>
            <w:r w:rsidRPr="0065294D">
              <w:rPr>
                <w:rFonts w:ascii="Times New Roman" w:eastAsiaTheme="minorEastAsia" w:hAnsi="Times New Roman" w:cs="Times New Roman"/>
                <w:iCs/>
              </w:rPr>
              <w:t>2.4</w:t>
            </w:r>
          </w:p>
        </w:tc>
      </w:tr>
      <w:tr w:rsidR="00807DED" w:rsidRPr="0065294D" w14:paraId="67525016" w14:textId="77777777" w:rsidTr="00807DED">
        <w:trPr>
          <w:jc w:val="center"/>
        </w:trPr>
        <w:tc>
          <w:tcPr>
            <w:tcW w:w="1440" w:type="dxa"/>
          </w:tcPr>
          <w:p w14:paraId="1D1ADFDF" w14:textId="77777777" w:rsidR="00807DED" w:rsidRPr="0065294D" w:rsidRDefault="00000000">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2</m:t>
                    </m:r>
                  </m:sub>
                </m:sSub>
              </m:oMath>
            </m:oMathPara>
          </w:p>
        </w:tc>
        <w:tc>
          <w:tcPr>
            <w:tcW w:w="1260" w:type="dxa"/>
          </w:tcPr>
          <w:p w14:paraId="2B0B308D" w14:textId="77777777" w:rsidR="00807DED" w:rsidRPr="0065294D" w:rsidRDefault="00807DED">
            <w:pPr>
              <w:jc w:val="center"/>
              <w:rPr>
                <w:rFonts w:ascii="Times New Roman" w:eastAsiaTheme="minorEastAsia" w:hAnsi="Times New Roman" w:cs="Times New Roman"/>
                <w:iCs/>
              </w:rPr>
            </w:pPr>
            <w:r w:rsidRPr="0065294D">
              <w:rPr>
                <w:rFonts w:ascii="Times New Roman" w:eastAsiaTheme="minorEastAsia" w:hAnsi="Times New Roman" w:cs="Times New Roman"/>
                <w:iCs/>
              </w:rPr>
              <w:t>2</w:t>
            </w:r>
          </w:p>
        </w:tc>
      </w:tr>
      <w:tr w:rsidR="00807DED" w:rsidRPr="0065294D" w14:paraId="194D09EB" w14:textId="77777777" w:rsidTr="00807DED">
        <w:trPr>
          <w:jc w:val="center"/>
        </w:trPr>
        <w:tc>
          <w:tcPr>
            <w:tcW w:w="1440" w:type="dxa"/>
          </w:tcPr>
          <w:p w14:paraId="5BD7450A" w14:textId="77777777" w:rsidR="00807DED" w:rsidRPr="0065294D" w:rsidRDefault="00000000">
            <w:pPr>
              <w:jc w:val="both"/>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3</m:t>
                    </m:r>
                  </m:sub>
                </m:sSub>
              </m:oMath>
            </m:oMathPara>
          </w:p>
        </w:tc>
        <w:tc>
          <w:tcPr>
            <w:tcW w:w="1260" w:type="dxa"/>
          </w:tcPr>
          <w:p w14:paraId="6C8083CC" w14:textId="77777777" w:rsidR="00807DED" w:rsidRPr="0065294D" w:rsidRDefault="00807DED">
            <w:pPr>
              <w:jc w:val="center"/>
              <w:rPr>
                <w:rFonts w:ascii="Times New Roman" w:eastAsiaTheme="minorEastAsia" w:hAnsi="Times New Roman" w:cs="Times New Roman"/>
                <w:iCs/>
              </w:rPr>
            </w:pPr>
            <w:r w:rsidRPr="0065294D">
              <w:rPr>
                <w:rFonts w:ascii="Times New Roman" w:eastAsiaTheme="minorEastAsia" w:hAnsi="Times New Roman" w:cs="Times New Roman"/>
                <w:iCs/>
              </w:rPr>
              <w:t>2.8</w:t>
            </w:r>
          </w:p>
        </w:tc>
      </w:tr>
      <w:tr w:rsidR="00807DED" w:rsidRPr="0065294D" w14:paraId="03FE4535" w14:textId="77777777" w:rsidTr="00807DED">
        <w:trPr>
          <w:jc w:val="center"/>
        </w:trPr>
        <w:tc>
          <w:tcPr>
            <w:tcW w:w="1440" w:type="dxa"/>
          </w:tcPr>
          <w:p w14:paraId="3B8249EC" w14:textId="77777777" w:rsidR="00807DED" w:rsidRPr="0065294D" w:rsidRDefault="00807DED">
            <w:pPr>
              <w:jc w:val="both"/>
              <w:rPr>
                <w:rFonts w:ascii="Times New Roman" w:eastAsia="Times New Roman" w:hAnsi="Times New Roman" w:cs="Times New Roman"/>
                <w:i/>
              </w:rPr>
            </w:pPr>
            <m:oMathPara>
              <m:oMath>
                <m:r>
                  <w:rPr>
                    <w:rFonts w:ascii="Cambria Math" w:eastAsia="Times New Roman" w:hAnsi="Cambria Math" w:cs="Times New Roman"/>
                  </w:rPr>
                  <m:t>K</m:t>
                </m:r>
              </m:oMath>
            </m:oMathPara>
          </w:p>
        </w:tc>
        <w:tc>
          <w:tcPr>
            <w:tcW w:w="1260" w:type="dxa"/>
          </w:tcPr>
          <w:p w14:paraId="105ABC80" w14:textId="77777777" w:rsidR="00807DED" w:rsidRPr="0065294D" w:rsidRDefault="00807DED">
            <w:pPr>
              <w:jc w:val="center"/>
              <w:rPr>
                <w:rFonts w:ascii="Times New Roman" w:eastAsiaTheme="minorEastAsia" w:hAnsi="Times New Roman" w:cs="Times New Roman"/>
                <w:iCs/>
              </w:rPr>
            </w:pPr>
            <w:r w:rsidRPr="0065294D">
              <w:rPr>
                <w:rFonts w:ascii="Times New Roman" w:eastAsiaTheme="minorEastAsia" w:hAnsi="Times New Roman" w:cs="Times New Roman"/>
                <w:iCs/>
              </w:rPr>
              <w:t>3</w:t>
            </w:r>
          </w:p>
        </w:tc>
      </w:tr>
    </w:tbl>
    <w:p w14:paraId="70DEAE41" w14:textId="77777777" w:rsidR="00AB68E7" w:rsidRDefault="00AB68E7" w:rsidP="00807DED">
      <w:pPr>
        <w:jc w:val="both"/>
        <w:rPr>
          <w:rFonts w:ascii="Times New Roman" w:hAnsi="Times New Roman" w:cs="Times New Roman"/>
          <w:lang w:val="pt-BR"/>
        </w:rPr>
      </w:pPr>
    </w:p>
    <w:p w14:paraId="6ADCDF75" w14:textId="4F043E81" w:rsidR="00807DED" w:rsidRDefault="00807DED" w:rsidP="00807DED">
      <w:pPr>
        <w:jc w:val="both"/>
        <w:rPr>
          <w:rFonts w:ascii="Times New Roman" w:hAnsi="Times New Roman" w:cs="Times New Roman"/>
          <w:lang w:val="pt-BR"/>
        </w:rPr>
      </w:pPr>
      <w:r w:rsidRPr="00807DED">
        <w:rPr>
          <w:rFonts w:ascii="Times New Roman" w:hAnsi="Times New Roman" w:cs="Times New Roman"/>
          <w:lang w:val="pt-BR"/>
        </w:rPr>
        <w:t>O algoritmo proposto calcula a taxa de dados experimentada pelo usuário, variando o número de elementos refletivos que compõem a RIS de 25 até 500. É utilizado o método de Monte Carlo para simular múltiplas realizações aleatórias do canal sem fio e estimar o valor médio da taxa de dados alcançável sob diferentes condições de propagação.</w:t>
      </w:r>
      <w:r>
        <w:rPr>
          <w:rFonts w:ascii="Times New Roman" w:hAnsi="Times New Roman" w:cs="Times New Roman"/>
          <w:lang w:val="pt-BR"/>
        </w:rPr>
        <w:t xml:space="preserve"> </w:t>
      </w:r>
      <w:r w:rsidRPr="00807DED">
        <w:rPr>
          <w:rFonts w:ascii="Times New Roman" w:hAnsi="Times New Roman" w:cs="Times New Roman"/>
          <w:lang w:val="pt-BR"/>
        </w:rPr>
        <w:t xml:space="preserve">É importante destacar também que é empregado o algoritmo de aceitação-rejeição para gerar amostras que seguem </w:t>
      </w:r>
      <w:r>
        <w:rPr>
          <w:rFonts w:ascii="Times New Roman" w:hAnsi="Times New Roman" w:cs="Times New Roman"/>
          <w:lang w:val="pt-BR"/>
        </w:rPr>
        <w:t>uma</w:t>
      </w:r>
      <w:r w:rsidRPr="00807DED">
        <w:rPr>
          <w:rFonts w:ascii="Times New Roman" w:hAnsi="Times New Roman" w:cs="Times New Roman"/>
          <w:lang w:val="pt-BR"/>
        </w:rPr>
        <w:t xml:space="preserve"> distribuição normal, considerando como função conhecida </w:t>
      </w:r>
      <m:oMath>
        <m:r>
          <w:rPr>
            <w:rFonts w:ascii="Cambria Math" w:hAnsi="Cambria Math" w:cs="Times New Roman"/>
          </w:rPr>
          <m:t>f</m:t>
        </m:r>
        <m:r>
          <w:rPr>
            <w:rFonts w:ascii="Cambria Math" w:hAnsi="Cambria Math" w:cs="Times New Roman"/>
            <w:lang w:val="pt-BR"/>
          </w:rPr>
          <m:t>(</m:t>
        </m:r>
        <m:r>
          <w:rPr>
            <w:rFonts w:ascii="Cambria Math" w:hAnsi="Cambria Math" w:cs="Times New Roman"/>
          </w:rPr>
          <m:t>t</m:t>
        </m:r>
        <m:r>
          <w:rPr>
            <w:rFonts w:ascii="Cambria Math" w:hAnsi="Cambria Math" w:cs="Times New Roman"/>
            <w:lang w:val="pt-BR"/>
          </w:rPr>
          <m:t xml:space="preserve">) =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lang w:val="pt-BR"/>
              </w:rPr>
              <m:t>-</m:t>
            </m:r>
            <m:r>
              <w:rPr>
                <w:rFonts w:ascii="Cambria Math" w:hAnsi="Cambria Math" w:cs="Times New Roman"/>
              </w:rPr>
              <m:t>t</m:t>
            </m:r>
          </m:sup>
        </m:sSup>
      </m:oMath>
      <w:r w:rsidRPr="00807DED">
        <w:rPr>
          <w:rFonts w:ascii="Times New Roman" w:hAnsi="Times New Roman" w:cs="Times New Roman"/>
          <w:lang w:val="pt-BR"/>
        </w:rPr>
        <w:t>.</w:t>
      </w:r>
    </w:p>
    <w:p w14:paraId="2068C63C" w14:textId="77777777" w:rsidR="006F66A1" w:rsidRDefault="006F66A1" w:rsidP="006F66A1">
      <w:pPr>
        <w:keepNext/>
        <w:jc w:val="center"/>
      </w:pPr>
      <w:r>
        <w:rPr>
          <w:noProof/>
        </w:rPr>
        <w:drawing>
          <wp:inline distT="0" distB="0" distL="0" distR="0" wp14:anchorId="305CB5DA" wp14:editId="36BE877F">
            <wp:extent cx="5303520" cy="1926585"/>
            <wp:effectExtent l="0" t="0" r="0" b="0"/>
            <wp:docPr id="4848984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6998" cy="1927848"/>
                    </a:xfrm>
                    <a:prstGeom prst="rect">
                      <a:avLst/>
                    </a:prstGeom>
                    <a:noFill/>
                    <a:ln>
                      <a:noFill/>
                    </a:ln>
                  </pic:spPr>
                </pic:pic>
              </a:graphicData>
            </a:graphic>
          </wp:inline>
        </w:drawing>
      </w:r>
    </w:p>
    <w:p w14:paraId="6E899D19" w14:textId="5A9B1785" w:rsidR="006F66A1" w:rsidRDefault="006F66A1" w:rsidP="006F66A1">
      <w:pPr>
        <w:pStyle w:val="Descripcin"/>
        <w:jc w:val="center"/>
        <w:rPr>
          <w:color w:val="auto"/>
          <w:lang w:val="pt-BR"/>
        </w:rPr>
      </w:pPr>
      <w:r w:rsidRPr="00807DED">
        <w:rPr>
          <w:color w:val="auto"/>
          <w:lang w:val="pt-BR"/>
        </w:rPr>
        <w:t xml:space="preserve">Figura </w:t>
      </w:r>
      <w:r w:rsidRPr="00807DED">
        <w:rPr>
          <w:color w:val="auto"/>
        </w:rPr>
        <w:fldChar w:fldCharType="begin"/>
      </w:r>
      <w:r w:rsidRPr="00807DED">
        <w:rPr>
          <w:color w:val="auto"/>
          <w:lang w:val="pt-BR"/>
        </w:rPr>
        <w:instrText xml:space="preserve"> SEQ Figura \* ARABIC </w:instrText>
      </w:r>
      <w:r w:rsidRPr="00807DED">
        <w:rPr>
          <w:color w:val="auto"/>
        </w:rPr>
        <w:fldChar w:fldCharType="separate"/>
      </w:r>
      <w:r w:rsidR="00A67216">
        <w:rPr>
          <w:noProof/>
          <w:color w:val="auto"/>
          <w:lang w:val="pt-BR"/>
        </w:rPr>
        <w:t>1</w:t>
      </w:r>
      <w:r w:rsidRPr="00807DED">
        <w:rPr>
          <w:color w:val="auto"/>
        </w:rPr>
        <w:fldChar w:fldCharType="end"/>
      </w:r>
      <w:r w:rsidRPr="00807DED">
        <w:rPr>
          <w:color w:val="auto"/>
          <w:lang w:val="pt-BR"/>
        </w:rPr>
        <w:t>: Taxa de dados vs. M. a) Resultados obtidos em [</w:t>
      </w:r>
      <w:r w:rsidR="001A54FC">
        <w:rPr>
          <w:color w:val="auto"/>
          <w:lang w:val="pt-BR"/>
        </w:rPr>
        <w:t>4</w:t>
      </w:r>
      <w:r w:rsidRPr="00807DED">
        <w:rPr>
          <w:color w:val="auto"/>
          <w:lang w:val="pt-BR"/>
        </w:rPr>
        <w:t>]. b) Resultados obtidos neste projeto.</w:t>
      </w:r>
    </w:p>
    <w:p w14:paraId="3697824B" w14:textId="65BF695D" w:rsidR="006F66A1" w:rsidRDefault="006F66A1" w:rsidP="006F66A1">
      <w:pPr>
        <w:jc w:val="both"/>
        <w:rPr>
          <w:rFonts w:ascii="Times New Roman" w:hAnsi="Times New Roman" w:cs="Times New Roman"/>
          <w:lang w:val="pt-BR"/>
        </w:rPr>
      </w:pPr>
      <w:r w:rsidRPr="000425D0">
        <w:rPr>
          <w:rFonts w:ascii="Times New Roman" w:hAnsi="Times New Roman" w:cs="Times New Roman"/>
          <w:lang w:val="pt-BR"/>
        </w:rPr>
        <w:lastRenderedPageBreak/>
        <w:t xml:space="preserve">Como pode ser observado na Figura 1, o algoritmo implementado neste projeto permitiu replicar os resultados de taxa de dados alcançados em </w:t>
      </w:r>
      <w:r>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{"citationID":"kJXranuv","properties":{"formattedCitation":"[4]","plainCitation":"[4]","noteIndex":0},"citationItems":[{"id":138,"uris":["http://zotero.org/users/7957888/items/3BS86GPY"],"itemData":{"id":138,"type":"article-journal","abstract":"Intelligent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Pr>
          <w:rFonts w:ascii="Times New Roman" w:hAnsi="Times New Roman" w:cs="Times New Roman"/>
          <w:lang w:val="pt-BR"/>
        </w:rPr>
        <w:fldChar w:fldCharType="separate"/>
      </w:r>
      <w:r w:rsidR="00755247" w:rsidRPr="00755247">
        <w:rPr>
          <w:rFonts w:ascii="Times New Roman" w:hAnsi="Times New Roman" w:cs="Times New Roman"/>
          <w:lang w:val="pt-BR"/>
        </w:rPr>
        <w:t>[4]</w:t>
      </w:r>
      <w:r>
        <w:rPr>
          <w:rFonts w:ascii="Times New Roman" w:hAnsi="Times New Roman" w:cs="Times New Roman"/>
          <w:lang w:val="pt-BR"/>
        </w:rPr>
        <w:fldChar w:fldCharType="end"/>
      </w:r>
      <w:r w:rsidR="00755247">
        <w:rPr>
          <w:rFonts w:ascii="Times New Roman" w:hAnsi="Times New Roman" w:cs="Times New Roman"/>
          <w:lang w:val="pt-BR"/>
        </w:rPr>
        <w:t xml:space="preserve">, mostrados na </w:t>
      </w:r>
      <w:r w:rsidR="00755247" w:rsidRPr="00755247">
        <w:rPr>
          <w:rFonts w:ascii="Times New Roman" w:hAnsi="Times New Roman" w:cs="Times New Roman"/>
          <w:lang w:val="pt-BR"/>
        </w:rPr>
        <w:t>Figura 10</w:t>
      </w:r>
      <w:r w:rsidR="00755247">
        <w:rPr>
          <w:rFonts w:ascii="Times New Roman" w:hAnsi="Times New Roman" w:cs="Times New Roman"/>
          <w:lang w:val="pt-BR"/>
        </w:rPr>
        <w:t xml:space="preserve"> </w:t>
      </w:r>
      <w:r w:rsidR="00755247" w:rsidRPr="00755247">
        <w:rPr>
          <w:rFonts w:ascii="Times New Roman" w:hAnsi="Times New Roman" w:cs="Times New Roman"/>
          <w:lang w:val="pt-BR"/>
        </w:rPr>
        <w:t>da Seção 3</w:t>
      </w:r>
      <w:r>
        <w:rPr>
          <w:rFonts w:ascii="Times New Roman" w:hAnsi="Times New Roman" w:cs="Times New Roman"/>
          <w:lang w:val="pt-BR"/>
        </w:rPr>
        <w:t xml:space="preserve">, </w:t>
      </w:r>
      <w:r w:rsidRPr="000425D0">
        <w:rPr>
          <w:rFonts w:ascii="Times New Roman" w:hAnsi="Times New Roman" w:cs="Times New Roman"/>
          <w:lang w:val="pt-BR"/>
        </w:rPr>
        <w:t xml:space="preserve">à medida que se incrementa o número de elementos </w:t>
      </w:r>
      <w:r w:rsidRPr="000425D0">
        <w:rPr>
          <w:rFonts w:ascii="Times New Roman" w:hAnsi="Times New Roman" w:cs="Times New Roman"/>
          <w:i/>
          <w:iCs/>
          <w:lang w:val="pt-BR"/>
        </w:rPr>
        <w:t>M</w:t>
      </w:r>
      <w:r w:rsidRPr="000425D0">
        <w:rPr>
          <w:rFonts w:ascii="Times New Roman" w:hAnsi="Times New Roman" w:cs="Times New Roman"/>
          <w:lang w:val="pt-BR"/>
        </w:rPr>
        <w:t xml:space="preserve"> na RIS. Observa-se que, ao aumentar </w:t>
      </w:r>
      <w:r w:rsidRPr="000425D0">
        <w:rPr>
          <w:rFonts w:ascii="Times New Roman" w:hAnsi="Times New Roman" w:cs="Times New Roman"/>
          <w:i/>
          <w:iCs/>
          <w:lang w:val="pt-BR"/>
        </w:rPr>
        <w:t>M</w:t>
      </w:r>
      <w:r w:rsidRPr="000425D0">
        <w:rPr>
          <w:rFonts w:ascii="Times New Roman" w:hAnsi="Times New Roman" w:cs="Times New Roman"/>
          <w:lang w:val="pt-BR"/>
        </w:rPr>
        <w:t xml:space="preserve">, também se incrementa a taxa de dados experimentada pelo usuário para os diferentes modelos de canal considerados. Em particular, demonstra-se que, ao dobrar </w:t>
      </w:r>
      <w:r w:rsidRPr="000425D0">
        <w:rPr>
          <w:rFonts w:ascii="Times New Roman" w:hAnsi="Times New Roman" w:cs="Times New Roman"/>
          <w:i/>
          <w:iCs/>
          <w:lang w:val="pt-BR"/>
        </w:rPr>
        <w:t>M</w:t>
      </w:r>
      <w:r w:rsidRPr="000425D0">
        <w:rPr>
          <w:rFonts w:ascii="Times New Roman" w:hAnsi="Times New Roman" w:cs="Times New Roman"/>
          <w:lang w:val="pt-BR"/>
        </w:rPr>
        <w:t xml:space="preserve">, a taxa alcançável aumenta aproximadamente em 2 bps/Hz quando </w:t>
      </w:r>
      <w:r w:rsidRPr="000425D0">
        <w:rPr>
          <w:rFonts w:ascii="Times New Roman" w:hAnsi="Times New Roman" w:cs="Times New Roman"/>
          <w:i/>
          <w:iCs/>
          <w:lang w:val="pt-BR"/>
        </w:rPr>
        <w:t>M</w:t>
      </w:r>
      <w:r w:rsidRPr="000425D0">
        <w:rPr>
          <w:rFonts w:ascii="Times New Roman" w:hAnsi="Times New Roman" w:cs="Times New Roman"/>
          <w:lang w:val="pt-BR"/>
        </w:rPr>
        <w:t xml:space="preserve"> é suficientemente grande.</w:t>
      </w:r>
    </w:p>
    <w:p w14:paraId="7A14EA57" w14:textId="77777777" w:rsidR="006F66A1" w:rsidRPr="000425D0" w:rsidRDefault="006F66A1"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Conclusões</w:t>
      </w:r>
    </w:p>
    <w:p w14:paraId="0F6F02D2" w14:textId="77777777" w:rsidR="006F66A1" w:rsidRPr="000425D0" w:rsidRDefault="006F66A1" w:rsidP="006F66A1">
      <w:pPr>
        <w:jc w:val="both"/>
        <w:rPr>
          <w:rFonts w:ascii="Times New Roman" w:hAnsi="Times New Roman" w:cs="Times New Roman"/>
          <w:lang w:val="pt-BR"/>
        </w:rPr>
      </w:pPr>
      <w:r w:rsidRPr="000425D0">
        <w:rPr>
          <w:rFonts w:ascii="Times New Roman" w:hAnsi="Times New Roman" w:cs="Times New Roman"/>
          <w:lang w:val="pt-BR"/>
        </w:rPr>
        <w:t>As RIS representam uma proposta promissora para transformar o modelo tradicional de sistemas sem fio, que se baseia exclusivamente em componentes ativos, para uma arquitetura híbrida em que componentes ativos e passivos cooperam de maneira inteligente. Elas se posicionam como uma solução eficiente para satisfazer as exigentes demandas das futuras redes 6G, devido ao seu baixo custo e consumo de energia.</w:t>
      </w:r>
    </w:p>
    <w:p w14:paraId="17F22556" w14:textId="4CB474C9" w:rsidR="000425D0" w:rsidRP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 xml:space="preserve">Neste projeto, foi implementado um algoritmo para avaliar o impacto do número de elementos refletivos </w:t>
      </w:r>
      <w:r w:rsidRPr="000425D0">
        <w:rPr>
          <w:rFonts w:ascii="Times New Roman" w:hAnsi="Times New Roman" w:cs="Times New Roman"/>
          <w:i/>
          <w:iCs/>
          <w:lang w:val="pt-BR"/>
        </w:rPr>
        <w:t>M</w:t>
      </w:r>
      <w:r w:rsidRPr="000425D0">
        <w:rPr>
          <w:rFonts w:ascii="Times New Roman" w:hAnsi="Times New Roman" w:cs="Times New Roman"/>
          <w:lang w:val="pt-BR"/>
        </w:rPr>
        <w:t xml:space="preserve"> de uma RIS sobre a taxa de transmissão em um sistema SISO. A simulação permitiu replicar o comportamento teórico descrito em</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{"citationID":"c63JVxse","properties":{"formattedCitation":"[4]","plainCitation":"[4]","noteIndex":0},"citationItems":[{"id":138,"uris":["http://zotero.org/users/7957888/items/3BS86GPY"],"itemData":{"id":138,"type":"article-journal","abstract":"Intelligent reflecting surface (IRS) is an enabling technology to engineer the radio signal propagation in wireless networks. By smartly tuning the signal reflection via a large number of low-cost passive reflecting elements, IRS is capable of dynamically altering wireless channels to enhance the communication performance. It is thus expected that the new IRS-aided hybrid wireless network comprising both active and passive components will be highly promising to achieve a sustainable capacity growth cost-effectively in the future. Despite its great potential, IRS faces new challenges to be efficiently integrated into wireless networks, such as reflection optimization, channel estimation, and deployment from communication design perspectives. In this paper, we provide a tutorial overview of IRS-aided wireless communications to address the above issues, and elaborate its reflection and channel models, hardware architecture and practical constraints, as well as various appealing applications in wireless networks. Moreover, we highlight important directions worthy of further investigation in future work.","container-title":"IEEE Transactions on Communications","DOI":"10.1109/TCOMM.2021.3051897","ISSN":"1558-0857","issue":"5","page":"3313-3351","source":"IEEE Xplore","title":"Intelligent Reflecting Surface-Aided Wireless Communications: A Tutorial","title-short":"Intelligent Reflecting Surface-Aided Wireless Communications","volume":"69","author":[{"family":"Wu","given":"Qingqing"},{"family":"Zhang","given":"Shuowen"},{"family":"Zheng","given":"Beixiong"},{"family":"You","given":"Changsheng"},{"family":"Zhang","given":"Rui"}],"issued":{"date-parts":[["2021",5]]}}}],"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[4]</w:t>
      </w:r>
      <w:r w:rsidR="00C351DD">
        <w:rPr>
          <w:rFonts w:ascii="Times New Roman" w:hAnsi="Times New Roman" w:cs="Times New Roman"/>
          <w:lang w:val="pt-BR"/>
        </w:rPr>
        <w:fldChar w:fldCharType="end"/>
      </w:r>
      <w:r w:rsidRPr="000425D0">
        <w:rPr>
          <w:rFonts w:ascii="Times New Roman" w:hAnsi="Times New Roman" w:cs="Times New Roman"/>
          <w:lang w:val="pt-BR"/>
        </w:rPr>
        <w:t>, no qual se demonstra que a</w:t>
      </w:r>
      <w:r w:rsidR="00AB68E7" w:rsidRPr="00AB68E7">
        <w:rPr>
          <w:rFonts w:ascii="Times New Roman" w:hAnsi="Times New Roman" w:cs="Times New Roman"/>
          <w:lang w:val="pt-BR"/>
        </w:rPr>
        <w:t xml:space="preserve"> taxa de transmissão aumenta progressivamente com o aumento de </w:t>
      </w:r>
      <w:r w:rsidR="00AB68E7" w:rsidRPr="00AB68E7">
        <w:rPr>
          <w:rFonts w:ascii="Times New Roman" w:hAnsi="Times New Roman" w:cs="Times New Roman"/>
          <w:i/>
          <w:iCs/>
          <w:lang w:val="pt-BR"/>
        </w:rPr>
        <w:t>M</w:t>
      </w:r>
      <w:r w:rsidR="00AB68E7">
        <w:rPr>
          <w:rFonts w:ascii="Times New Roman" w:hAnsi="Times New Roman" w:cs="Times New Roman"/>
          <w:i/>
          <w:iCs/>
          <w:lang w:val="pt-BR"/>
        </w:rPr>
        <w:t>.</w:t>
      </w:r>
    </w:p>
    <w:p w14:paraId="3F8F2517" w14:textId="439F34CA" w:rsidR="000425D0" w:rsidRDefault="000425D0" w:rsidP="000425D0">
      <w:pPr>
        <w:jc w:val="both"/>
        <w:rPr>
          <w:rFonts w:ascii="Times New Roman" w:hAnsi="Times New Roman" w:cs="Times New Roman"/>
          <w:lang w:val="pt-BR"/>
        </w:rPr>
      </w:pPr>
      <w:r w:rsidRPr="000425D0">
        <w:rPr>
          <w:rFonts w:ascii="Times New Roman" w:hAnsi="Times New Roman" w:cs="Times New Roman"/>
          <w:lang w:val="pt-BR"/>
        </w:rPr>
        <w:t xml:space="preserve">Finalmente, embora as RIS clássicas ofereçam simplicidade e baixo custo computacional, apresentam limitações em termos de flexibilidade e controle do ambiente eletromagnético. Por isso, como trabalho futuro, propõe-se o estudo de arquiteturas avançadas, conhecidas como </w:t>
      </w:r>
      <w:proofErr w:type="spellStart"/>
      <w:r w:rsidRPr="000425D0">
        <w:rPr>
          <w:rFonts w:ascii="Times New Roman" w:hAnsi="Times New Roman" w:cs="Times New Roman"/>
          <w:lang w:val="pt-BR"/>
        </w:rPr>
        <w:t>Beyond</w:t>
      </w:r>
      <w:proofErr w:type="spellEnd"/>
      <w:r w:rsidRPr="000425D0">
        <w:rPr>
          <w:rFonts w:ascii="Times New Roman" w:hAnsi="Times New Roman" w:cs="Times New Roman"/>
          <w:lang w:val="pt-BR"/>
        </w:rPr>
        <w:t xml:space="preserve"> Diagonal RIS (BD-RIS), cujo modelamento matemático não se limita a uma matriz diagonal, o que resulta em um aumento do desempenho e da cobertura do sistema</w:t>
      </w:r>
      <w:r w:rsidR="00C351DD">
        <w:rPr>
          <w:rFonts w:ascii="Times New Roman" w:hAnsi="Times New Roman" w:cs="Times New Roman"/>
          <w:lang w:val="pt-BR"/>
        </w:rPr>
        <w:t xml:space="preserve"> </w:t>
      </w:r>
      <w:r w:rsidR="00C351DD">
        <w:rPr>
          <w:rFonts w:ascii="Times New Roman" w:hAnsi="Times New Roman" w:cs="Times New Roman"/>
          <w:lang w:val="pt-BR"/>
        </w:rPr>
        <w:fldChar w:fldCharType="begin"/>
      </w:r>
      <w:r w:rsidR="00755247">
        <w:rPr>
          <w:rFonts w:ascii="Times New Roman" w:hAnsi="Times New Roman" w:cs="Times New Roman"/>
          <w:lang w:val="pt-BR"/>
        </w:rPr>
        <w:instrText xml:space="preserve"> ADDIN ZOTERO_ITEM CSL_CITATION {"citationID":"n0grXKl2","properties":{"formattedCitation":"[5]","plainCitation":"[5]","noteIndex":0},"citationItems":[{"id":141,"uris":["http://zotero.org/users/7957888/items/TUJIMW5P"],"itemData":{"id":141,"type":"article-journal","abstract":"Reconfigurable intelligent surfaces (RISs) are envisioned as a promising technology for future wireless communications. With various hardware realizations, RISs can work under different modes (reflective/transmissive/hybrid) or have different architectures (single/group/fully-connected). However, most existing research focused on single-connected reflective RISs, mathematically characterized by diagonal phase shift matrices, while there is a lack of a comprehensive study for RISs unifying different modes/architectures. In this paper, we solve this issue by analyzing and proposing a general RIS-aided communication model. Specifically, we establish an RIS model not limited to diagonal phase shift matrices, a novel branch referred to as beyond diagonal RIS (BD-RIS), unifying modes and architectures. With the proposed model, we develop efficient algorithms to jointly design transmit precoder and BD-RIS matrix to maximize the sum-rate for RIS-aided systems. We also provide simulation results to compare the performance of BD-RISs with different modes/architectures. Simulation results show that under the same mode, fully- and group-connected RIS can effectively increase the sum-rate performance compared with single-connected RIS, and that hybrid RIS outperforms reflective/transmissive RIS with the same architecture.","container-title":"IEEE Transactions on Wireless Communications","DOI":"10.1109/TWC.2022.3210706","ISSN":"1558-2248","issue":"4","page":"2311-2324","source":"IEEE Xplore","title":"Beyond Diagonal Reconfigurable Intelligent Surfaces: From Transmitting and Reflecting Modes to Single-, Group-, and Fully-Connected Architectures","title-short":"Beyond Diagonal Reconfigurable Intelligent Surfaces","volume":"22","author":[{"family":"Li","given":"Hongyu"},{"family":"Shen","given":"Shanpu"},{"family":"Clerckx","given":"Bruno"}],"issued":{"date-parts":[["2023",4]]}}}],"schema":"https://github.com/citation-style-language/schema/raw/master/csl-citation.json"} </w:instrText>
      </w:r>
      <w:r w:rsidR="00C351DD">
        <w:rPr>
          <w:rFonts w:ascii="Times New Roman" w:hAnsi="Times New Roman" w:cs="Times New Roman"/>
          <w:lang w:val="pt-BR"/>
        </w:rPr>
        <w:fldChar w:fldCharType="separate"/>
      </w:r>
      <w:r w:rsidR="00755247" w:rsidRPr="00755247">
        <w:rPr>
          <w:rFonts w:ascii="Times New Roman" w:hAnsi="Times New Roman" w:cs="Times New Roman"/>
          <w:lang w:val="pt-BR"/>
        </w:rPr>
        <w:t>[5]</w:t>
      </w:r>
      <w:r w:rsidR="00C351DD">
        <w:rPr>
          <w:rFonts w:ascii="Times New Roman" w:hAnsi="Times New Roman" w:cs="Times New Roman"/>
          <w:lang w:val="pt-BR"/>
        </w:rPr>
        <w:fldChar w:fldCharType="end"/>
      </w:r>
      <w:r w:rsidRPr="000425D0">
        <w:rPr>
          <w:rFonts w:ascii="Times New Roman" w:hAnsi="Times New Roman" w:cs="Times New Roman"/>
          <w:lang w:val="pt-BR"/>
        </w:rPr>
        <w:t>.</w:t>
      </w:r>
    </w:p>
    <w:p w14:paraId="49050ADB" w14:textId="7D5E868A" w:rsidR="000425D0" w:rsidRDefault="000425D0" w:rsidP="006F66A1">
      <w:pPr>
        <w:pStyle w:val="Prrafodelista"/>
        <w:numPr>
          <w:ilvl w:val="0"/>
          <w:numId w:val="4"/>
        </w:numPr>
        <w:jc w:val="both"/>
        <w:rPr>
          <w:rFonts w:ascii="Times New Roman" w:hAnsi="Times New Roman" w:cs="Times New Roman"/>
          <w:b/>
          <w:bCs/>
          <w:lang w:val="pt-BR"/>
        </w:rPr>
      </w:pPr>
      <w:r w:rsidRPr="000425D0">
        <w:rPr>
          <w:rFonts w:ascii="Times New Roman" w:hAnsi="Times New Roman" w:cs="Times New Roman"/>
          <w:b/>
          <w:bCs/>
          <w:lang w:val="pt-BR"/>
        </w:rPr>
        <w:t>Referências</w:t>
      </w:r>
    </w:p>
    <w:p w14:paraId="2CBBCCEA" w14:textId="77777777" w:rsidR="00755247" w:rsidRPr="00755247" w:rsidRDefault="00C351DD" w:rsidP="00755247">
      <w:pPr>
        <w:pStyle w:val="Bibliografa"/>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755247" w:rsidRPr="00755247">
        <w:rPr>
          <w:rFonts w:ascii="Times New Roman" w:hAnsi="Times New Roman" w:cs="Times New Roman"/>
          <w:lang w:val="en-US"/>
        </w:rPr>
        <w:t>[1]</w:t>
      </w:r>
      <w:r w:rsidR="00755247" w:rsidRPr="00755247">
        <w:rPr>
          <w:rFonts w:ascii="Times New Roman" w:hAnsi="Times New Roman" w:cs="Times New Roman"/>
          <w:lang w:val="en-US"/>
        </w:rPr>
        <w:tab/>
        <w:t xml:space="preserve">M. Z. Chowdhury, Md. Shahjalal, S. Ahmed, y Y. M. Jang, «6G Wireless Communication Systems: Applications, Requirements, Technologies, Challenges, and Research Directions», </w:t>
      </w:r>
      <w:r w:rsidR="00755247" w:rsidRPr="00755247">
        <w:rPr>
          <w:rFonts w:ascii="Times New Roman" w:hAnsi="Times New Roman" w:cs="Times New Roman"/>
          <w:i/>
          <w:iCs/>
          <w:lang w:val="en-US"/>
        </w:rPr>
        <w:t>IEEE Open J. Commun. Soc.</w:t>
      </w:r>
      <w:r w:rsidR="00755247" w:rsidRPr="00755247">
        <w:rPr>
          <w:rFonts w:ascii="Times New Roman" w:hAnsi="Times New Roman" w:cs="Times New Roman"/>
          <w:lang w:val="en-US"/>
        </w:rPr>
        <w:t>, vol. 1, pp. 957-975, 2020, doi: 10.1109/OJCOMS.2020.3010270.</w:t>
      </w:r>
    </w:p>
    <w:p w14:paraId="3BB0EFEB"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[2]</w:t>
      </w:r>
      <w:r w:rsidRPr="00755247">
        <w:rPr>
          <w:rFonts w:ascii="Times New Roman" w:hAnsi="Times New Roman" w:cs="Times New Roman"/>
          <w:lang w:val="en-US"/>
        </w:rPr>
        <w:tab/>
        <w:t xml:space="preserve">P. Li, J. Fan, y J. Wu, «Exploring the key technologies and applications of 6G wireless communication network», </w:t>
      </w:r>
      <w:r w:rsidRPr="00755247">
        <w:rPr>
          <w:rFonts w:ascii="Times New Roman" w:hAnsi="Times New Roman" w:cs="Times New Roman"/>
          <w:i/>
          <w:iCs/>
          <w:lang w:val="en-US"/>
        </w:rPr>
        <w:t>iScience</w:t>
      </w:r>
      <w:r w:rsidRPr="00755247">
        <w:rPr>
          <w:rFonts w:ascii="Times New Roman" w:hAnsi="Times New Roman" w:cs="Times New Roman"/>
          <w:lang w:val="en-US"/>
        </w:rPr>
        <w:t>, vol. 28,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5, p. 112281, may 2025, doi: 10.1016/j.isci.2025.112281.</w:t>
      </w:r>
    </w:p>
    <w:p w14:paraId="0DF0EC1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[3]</w:t>
      </w:r>
      <w:r w:rsidRPr="00755247">
        <w:rPr>
          <w:rFonts w:ascii="Times New Roman" w:hAnsi="Times New Roman" w:cs="Times New Roman"/>
          <w:lang w:val="en-US"/>
        </w:rPr>
        <w:tab/>
        <w:t xml:space="preserve">Y. Liu </w:t>
      </w:r>
      <w:r w:rsidRPr="00755247">
        <w:rPr>
          <w:rFonts w:ascii="Times New Roman" w:hAnsi="Times New Roman" w:cs="Times New Roman"/>
          <w:i/>
          <w:iCs/>
          <w:lang w:val="en-US"/>
        </w:rPr>
        <w:t>et al.</w:t>
      </w:r>
      <w:r w:rsidRPr="00755247">
        <w:rPr>
          <w:rFonts w:ascii="Times New Roman" w:hAnsi="Times New Roman" w:cs="Times New Roman"/>
          <w:lang w:val="en-US"/>
        </w:rPr>
        <w:t xml:space="preserve">, «Reconfigurable Intelligent Surfaces: Principles and Opportunities», </w:t>
      </w:r>
      <w:r w:rsidRPr="00755247">
        <w:rPr>
          <w:rFonts w:ascii="Times New Roman" w:hAnsi="Times New Roman" w:cs="Times New Roman"/>
          <w:i/>
          <w:iCs/>
          <w:lang w:val="en-US"/>
        </w:rPr>
        <w:t>IEEE Commun. Surv. Tutor.</w:t>
      </w:r>
      <w:r w:rsidRPr="00755247">
        <w:rPr>
          <w:rFonts w:ascii="Times New Roman" w:hAnsi="Times New Roman" w:cs="Times New Roman"/>
          <w:lang w:val="en-US"/>
        </w:rPr>
        <w:t>, vol. 23,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3, pp. 1546-1577, 2021, doi: 10.1109/COMST.2021.3077737.</w:t>
      </w:r>
    </w:p>
    <w:p w14:paraId="6E9D8FB5" w14:textId="77777777" w:rsidR="00755247" w:rsidRPr="00755247" w:rsidRDefault="00755247" w:rsidP="00755247">
      <w:pPr>
        <w:pStyle w:val="Bibliografa"/>
        <w:jc w:val="both"/>
        <w:rPr>
          <w:rFonts w:ascii="Times New Roman" w:hAnsi="Times New Roman" w:cs="Times New Roman"/>
          <w:lang w:val="en-US"/>
        </w:rPr>
      </w:pPr>
      <w:r w:rsidRPr="00755247">
        <w:rPr>
          <w:rFonts w:ascii="Times New Roman" w:hAnsi="Times New Roman" w:cs="Times New Roman"/>
          <w:lang w:val="en-US"/>
        </w:rPr>
        <w:t>[4]</w:t>
      </w:r>
      <w:r w:rsidRPr="00755247">
        <w:rPr>
          <w:rFonts w:ascii="Times New Roman" w:hAnsi="Times New Roman" w:cs="Times New Roman"/>
          <w:lang w:val="en-US"/>
        </w:rPr>
        <w:tab/>
        <w:t xml:space="preserve">Q. Wu, S. Zhang, B. Zheng, C. You, y R. Zhang, «Intelligent Reflecting Surface-Aided Wireless Communications: A Tutorial», </w:t>
      </w:r>
      <w:r w:rsidRPr="00755247">
        <w:rPr>
          <w:rFonts w:ascii="Times New Roman" w:hAnsi="Times New Roman" w:cs="Times New Roman"/>
          <w:i/>
          <w:iCs/>
          <w:lang w:val="en-US"/>
        </w:rPr>
        <w:t>IEEE Trans. Commun.</w:t>
      </w:r>
      <w:r w:rsidRPr="00755247">
        <w:rPr>
          <w:rFonts w:ascii="Times New Roman" w:hAnsi="Times New Roman" w:cs="Times New Roman"/>
          <w:lang w:val="en-US"/>
        </w:rPr>
        <w:t>, vol. 69, n.</w:t>
      </w:r>
      <w:r w:rsidRPr="00755247">
        <w:rPr>
          <w:rFonts w:ascii="Times New Roman" w:hAnsi="Times New Roman" w:cs="Times New Roman"/>
          <w:vertAlign w:val="superscript"/>
          <w:lang w:val="en-US"/>
        </w:rPr>
        <w:t>o</w:t>
      </w:r>
      <w:r w:rsidRPr="00755247">
        <w:rPr>
          <w:rFonts w:ascii="Times New Roman" w:hAnsi="Times New Roman" w:cs="Times New Roman"/>
          <w:lang w:val="en-US"/>
        </w:rPr>
        <w:t xml:space="preserve"> 5, pp. 3313-3351, may 2021, doi: 10.1109/TCOMM.2021.3051897.</w:t>
      </w:r>
    </w:p>
    <w:p w14:paraId="2D9F07CB" w14:textId="77777777" w:rsidR="00755247" w:rsidRPr="00755247" w:rsidRDefault="00755247" w:rsidP="00755247">
      <w:pPr>
        <w:pStyle w:val="Bibliografa"/>
        <w:jc w:val="both"/>
        <w:rPr>
          <w:rFonts w:ascii="Times New Roman" w:hAnsi="Times New Roman" w:cs="Times New Roman"/>
        </w:rPr>
      </w:pPr>
      <w:r w:rsidRPr="00755247">
        <w:rPr>
          <w:rFonts w:ascii="Times New Roman" w:hAnsi="Times New Roman" w:cs="Times New Roman"/>
          <w:lang w:val="en-US"/>
        </w:rPr>
        <w:t>[5]</w:t>
      </w:r>
      <w:r w:rsidRPr="00755247">
        <w:rPr>
          <w:rFonts w:ascii="Times New Roman" w:hAnsi="Times New Roman" w:cs="Times New Roman"/>
          <w:lang w:val="en-US"/>
        </w:rPr>
        <w:tab/>
        <w:t xml:space="preserve">H. Li, S. Shen, y B. Clerckx, «Beyond Diagonal Reconfigurable Intelligent Surfaces: From Transmitting and Reflecting Modes to Single-, Group-, and Fully-Connected Architectures», </w:t>
      </w:r>
      <w:r w:rsidRPr="00755247">
        <w:rPr>
          <w:rFonts w:ascii="Times New Roman" w:hAnsi="Times New Roman" w:cs="Times New Roman"/>
          <w:i/>
          <w:iCs/>
          <w:lang w:val="en-US"/>
        </w:rPr>
        <w:t xml:space="preserve">IEEE Trans. </w:t>
      </w:r>
      <w:r w:rsidRPr="00755247">
        <w:rPr>
          <w:rFonts w:ascii="Times New Roman" w:hAnsi="Times New Roman" w:cs="Times New Roman"/>
          <w:i/>
          <w:iCs/>
        </w:rPr>
        <w:t>Wirel. Commun.</w:t>
      </w:r>
      <w:r w:rsidRPr="00755247">
        <w:rPr>
          <w:rFonts w:ascii="Times New Roman" w:hAnsi="Times New Roman" w:cs="Times New Roman"/>
        </w:rPr>
        <w:t>, vol. 22, n.</w:t>
      </w:r>
      <w:r w:rsidRPr="00755247">
        <w:rPr>
          <w:rFonts w:ascii="Times New Roman" w:hAnsi="Times New Roman" w:cs="Times New Roman"/>
          <w:vertAlign w:val="superscript"/>
        </w:rPr>
        <w:t>o</w:t>
      </w:r>
      <w:r w:rsidRPr="00755247">
        <w:rPr>
          <w:rFonts w:ascii="Times New Roman" w:hAnsi="Times New Roman" w:cs="Times New Roman"/>
        </w:rPr>
        <w:t xml:space="preserve"> 4, pp. 2311-2324, abr. 2023, doi: 10.1109/TWC.2022.3210706.</w:t>
      </w:r>
    </w:p>
    <w:p w14:paraId="629EFE99" w14:textId="7392DBCA" w:rsidR="00AB68E7" w:rsidRPr="00AB68E7" w:rsidRDefault="00C351DD" w:rsidP="00AB68E7">
      <w:pPr>
        <w:jc w:val="both"/>
        <w:rPr>
          <w:rFonts w:ascii="Times New Roman" w:hAnsi="Times New Roman" w:cs="Times New Roman"/>
          <w:lang w:val="en-US"/>
        </w:rPr>
      </w:pPr>
      <w:r>
        <w:rPr>
          <w:rFonts w:ascii="Times New Roman" w:hAnsi="Times New Roman" w:cs="Times New Roman"/>
          <w:lang w:val="en-US"/>
        </w:rPr>
        <w:fldChar w:fldCharType="end"/>
      </w:r>
    </w:p>
    <w:sectPr w:rsidR="00AB68E7" w:rsidRPr="00AB68E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FC8D5" w14:textId="77777777" w:rsidR="00FC0E3F" w:rsidRDefault="00FC0E3F" w:rsidP="00AB68E7">
      <w:pPr>
        <w:spacing w:after="0" w:line="240" w:lineRule="auto"/>
      </w:pPr>
      <w:r>
        <w:separator/>
      </w:r>
    </w:p>
  </w:endnote>
  <w:endnote w:type="continuationSeparator" w:id="0">
    <w:p w14:paraId="64682915" w14:textId="77777777" w:rsidR="00FC0E3F" w:rsidRDefault="00FC0E3F" w:rsidP="00AB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94BC2" w14:textId="77777777" w:rsidR="00FC0E3F" w:rsidRDefault="00FC0E3F" w:rsidP="00AB68E7">
      <w:pPr>
        <w:spacing w:after="0" w:line="240" w:lineRule="auto"/>
      </w:pPr>
      <w:r>
        <w:separator/>
      </w:r>
    </w:p>
  </w:footnote>
  <w:footnote w:type="continuationSeparator" w:id="0">
    <w:p w14:paraId="6B78CC14" w14:textId="77777777" w:rsidR="00FC0E3F" w:rsidRDefault="00FC0E3F" w:rsidP="00AB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20EDE"/>
    <w:multiLevelType w:val="hybridMultilevel"/>
    <w:tmpl w:val="5EF2FECC"/>
    <w:lvl w:ilvl="0" w:tplc="28CC9BD2">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6EF5775"/>
    <w:multiLevelType w:val="hybridMultilevel"/>
    <w:tmpl w:val="A86CEC6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43917"/>
    <w:multiLevelType w:val="hybridMultilevel"/>
    <w:tmpl w:val="A2D691A0"/>
    <w:lvl w:ilvl="0" w:tplc="29A4DCEC">
      <w:start w:val="1"/>
      <w:numFmt w:val="upperRoman"/>
      <w:lvlText w:val="%1."/>
      <w:lvlJc w:val="left"/>
      <w:pPr>
        <w:ind w:left="1080" w:hanging="720"/>
      </w:pPr>
      <w:rPr>
        <w:rFonts w:hint="default"/>
        <w:b/>
        <w:bCs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72A1680B"/>
    <w:multiLevelType w:val="hybridMultilevel"/>
    <w:tmpl w:val="A86CEC62"/>
    <w:lvl w:ilvl="0" w:tplc="F1224E14">
      <w:start w:val="1"/>
      <w:numFmt w:val="upp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187215318">
    <w:abstractNumId w:val="0"/>
  </w:num>
  <w:num w:numId="2" w16cid:durableId="343897709">
    <w:abstractNumId w:val="3"/>
  </w:num>
  <w:num w:numId="3" w16cid:durableId="900092824">
    <w:abstractNumId w:val="2"/>
  </w:num>
  <w:num w:numId="4" w16cid:durableId="1731803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C2"/>
    <w:rsid w:val="000425D0"/>
    <w:rsid w:val="000A058C"/>
    <w:rsid w:val="000B6498"/>
    <w:rsid w:val="001A54FC"/>
    <w:rsid w:val="002A634F"/>
    <w:rsid w:val="003F1E91"/>
    <w:rsid w:val="004B4079"/>
    <w:rsid w:val="00504AA7"/>
    <w:rsid w:val="005724C1"/>
    <w:rsid w:val="006F66A1"/>
    <w:rsid w:val="00755247"/>
    <w:rsid w:val="00792533"/>
    <w:rsid w:val="00807DED"/>
    <w:rsid w:val="008952BF"/>
    <w:rsid w:val="009A5DC2"/>
    <w:rsid w:val="00A2643F"/>
    <w:rsid w:val="00A26EED"/>
    <w:rsid w:val="00A67216"/>
    <w:rsid w:val="00AB68E7"/>
    <w:rsid w:val="00B11F65"/>
    <w:rsid w:val="00C351DD"/>
    <w:rsid w:val="00C7556D"/>
    <w:rsid w:val="00C97AC2"/>
    <w:rsid w:val="00D50BF9"/>
    <w:rsid w:val="00D719F2"/>
    <w:rsid w:val="00E02687"/>
    <w:rsid w:val="00FB6F9D"/>
    <w:rsid w:val="00FC0E3F"/>
    <w:rsid w:val="00FF203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C7EDD"/>
  <w15:chartTrackingRefBased/>
  <w15:docId w15:val="{6B9FD047-88F8-4334-9C1F-D04AC916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5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5D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5D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5D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5D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D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D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D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DC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5D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5DC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5DC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5DC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5D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D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D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DC2"/>
    <w:rPr>
      <w:rFonts w:eastAsiaTheme="majorEastAsia" w:cstheme="majorBidi"/>
      <w:color w:val="272727" w:themeColor="text1" w:themeTint="D8"/>
    </w:rPr>
  </w:style>
  <w:style w:type="paragraph" w:styleId="Ttulo">
    <w:name w:val="Title"/>
    <w:basedOn w:val="Normal"/>
    <w:next w:val="Normal"/>
    <w:link w:val="TtuloCar"/>
    <w:uiPriority w:val="10"/>
    <w:qFormat/>
    <w:rsid w:val="009A5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D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D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D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DC2"/>
    <w:pPr>
      <w:spacing w:before="160"/>
      <w:jc w:val="center"/>
    </w:pPr>
    <w:rPr>
      <w:i/>
      <w:iCs/>
      <w:color w:val="404040" w:themeColor="text1" w:themeTint="BF"/>
    </w:rPr>
  </w:style>
  <w:style w:type="character" w:customStyle="1" w:styleId="CitaCar">
    <w:name w:val="Cita Car"/>
    <w:basedOn w:val="Fuentedeprrafopredeter"/>
    <w:link w:val="Cita"/>
    <w:uiPriority w:val="29"/>
    <w:rsid w:val="009A5DC2"/>
    <w:rPr>
      <w:i/>
      <w:iCs/>
      <w:color w:val="404040" w:themeColor="text1" w:themeTint="BF"/>
    </w:rPr>
  </w:style>
  <w:style w:type="paragraph" w:styleId="Prrafodelista">
    <w:name w:val="List Paragraph"/>
    <w:basedOn w:val="Normal"/>
    <w:uiPriority w:val="34"/>
    <w:qFormat/>
    <w:rsid w:val="009A5DC2"/>
    <w:pPr>
      <w:ind w:left="720"/>
      <w:contextualSpacing/>
    </w:pPr>
  </w:style>
  <w:style w:type="character" w:styleId="nfasisintenso">
    <w:name w:val="Intense Emphasis"/>
    <w:basedOn w:val="Fuentedeprrafopredeter"/>
    <w:uiPriority w:val="21"/>
    <w:qFormat/>
    <w:rsid w:val="009A5DC2"/>
    <w:rPr>
      <w:i/>
      <w:iCs/>
      <w:color w:val="2F5496" w:themeColor="accent1" w:themeShade="BF"/>
    </w:rPr>
  </w:style>
  <w:style w:type="paragraph" w:styleId="Citadestacada">
    <w:name w:val="Intense Quote"/>
    <w:basedOn w:val="Normal"/>
    <w:next w:val="Normal"/>
    <w:link w:val="CitadestacadaCar"/>
    <w:uiPriority w:val="30"/>
    <w:qFormat/>
    <w:rsid w:val="009A5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5DC2"/>
    <w:rPr>
      <w:i/>
      <w:iCs/>
      <w:color w:val="2F5496" w:themeColor="accent1" w:themeShade="BF"/>
    </w:rPr>
  </w:style>
  <w:style w:type="character" w:styleId="Referenciaintensa">
    <w:name w:val="Intense Reference"/>
    <w:basedOn w:val="Fuentedeprrafopredeter"/>
    <w:uiPriority w:val="32"/>
    <w:qFormat/>
    <w:rsid w:val="009A5DC2"/>
    <w:rPr>
      <w:b/>
      <w:bCs/>
      <w:smallCaps/>
      <w:color w:val="2F5496" w:themeColor="accent1" w:themeShade="BF"/>
      <w:spacing w:val="5"/>
    </w:rPr>
  </w:style>
  <w:style w:type="table" w:styleId="Tablaconcuadrcula">
    <w:name w:val="Table Grid"/>
    <w:basedOn w:val="Tablanormal"/>
    <w:uiPriority w:val="39"/>
    <w:rsid w:val="0080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07DE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C351DD"/>
    <w:pPr>
      <w:tabs>
        <w:tab w:val="left" w:pos="384"/>
      </w:tabs>
      <w:spacing w:after="0" w:line="240" w:lineRule="auto"/>
      <w:ind w:left="384" w:hanging="384"/>
    </w:pPr>
  </w:style>
  <w:style w:type="paragraph" w:styleId="Encabezado">
    <w:name w:val="header"/>
    <w:basedOn w:val="Normal"/>
    <w:link w:val="EncabezadoCar"/>
    <w:uiPriority w:val="99"/>
    <w:unhideWhenUsed/>
    <w:rsid w:val="00AB68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8E7"/>
  </w:style>
  <w:style w:type="paragraph" w:styleId="Piedepgina">
    <w:name w:val="footer"/>
    <w:basedOn w:val="Normal"/>
    <w:link w:val="PiedepginaCar"/>
    <w:uiPriority w:val="99"/>
    <w:unhideWhenUsed/>
    <w:rsid w:val="00AB68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8327">
      <w:bodyDiv w:val="1"/>
      <w:marLeft w:val="0"/>
      <w:marRight w:val="0"/>
      <w:marTop w:val="0"/>
      <w:marBottom w:val="0"/>
      <w:divBdr>
        <w:top w:val="none" w:sz="0" w:space="0" w:color="auto"/>
        <w:left w:val="none" w:sz="0" w:space="0" w:color="auto"/>
        <w:bottom w:val="none" w:sz="0" w:space="0" w:color="auto"/>
        <w:right w:val="none" w:sz="0" w:space="0" w:color="auto"/>
      </w:divBdr>
    </w:div>
    <w:div w:id="646128681">
      <w:bodyDiv w:val="1"/>
      <w:marLeft w:val="0"/>
      <w:marRight w:val="0"/>
      <w:marTop w:val="0"/>
      <w:marBottom w:val="0"/>
      <w:divBdr>
        <w:top w:val="none" w:sz="0" w:space="0" w:color="auto"/>
        <w:left w:val="none" w:sz="0" w:space="0" w:color="auto"/>
        <w:bottom w:val="none" w:sz="0" w:space="0" w:color="auto"/>
        <w:right w:val="none" w:sz="0" w:space="0" w:color="auto"/>
      </w:divBdr>
    </w:div>
    <w:div w:id="719062725">
      <w:bodyDiv w:val="1"/>
      <w:marLeft w:val="0"/>
      <w:marRight w:val="0"/>
      <w:marTop w:val="0"/>
      <w:marBottom w:val="0"/>
      <w:divBdr>
        <w:top w:val="none" w:sz="0" w:space="0" w:color="auto"/>
        <w:left w:val="none" w:sz="0" w:space="0" w:color="auto"/>
        <w:bottom w:val="none" w:sz="0" w:space="0" w:color="auto"/>
        <w:right w:val="none" w:sz="0" w:space="0" w:color="auto"/>
      </w:divBdr>
    </w:div>
    <w:div w:id="861550000">
      <w:bodyDiv w:val="1"/>
      <w:marLeft w:val="0"/>
      <w:marRight w:val="0"/>
      <w:marTop w:val="0"/>
      <w:marBottom w:val="0"/>
      <w:divBdr>
        <w:top w:val="none" w:sz="0" w:space="0" w:color="auto"/>
        <w:left w:val="none" w:sz="0" w:space="0" w:color="auto"/>
        <w:bottom w:val="none" w:sz="0" w:space="0" w:color="auto"/>
        <w:right w:val="none" w:sz="0" w:space="0" w:color="auto"/>
      </w:divBdr>
    </w:div>
    <w:div w:id="1123034352">
      <w:bodyDiv w:val="1"/>
      <w:marLeft w:val="0"/>
      <w:marRight w:val="0"/>
      <w:marTop w:val="0"/>
      <w:marBottom w:val="0"/>
      <w:divBdr>
        <w:top w:val="none" w:sz="0" w:space="0" w:color="auto"/>
        <w:left w:val="none" w:sz="0" w:space="0" w:color="auto"/>
        <w:bottom w:val="none" w:sz="0" w:space="0" w:color="auto"/>
        <w:right w:val="none" w:sz="0" w:space="0" w:color="auto"/>
      </w:divBdr>
    </w:div>
    <w:div w:id="1319724790">
      <w:bodyDiv w:val="1"/>
      <w:marLeft w:val="0"/>
      <w:marRight w:val="0"/>
      <w:marTop w:val="0"/>
      <w:marBottom w:val="0"/>
      <w:divBdr>
        <w:top w:val="none" w:sz="0" w:space="0" w:color="auto"/>
        <w:left w:val="none" w:sz="0" w:space="0" w:color="auto"/>
        <w:bottom w:val="none" w:sz="0" w:space="0" w:color="auto"/>
        <w:right w:val="none" w:sz="0" w:space="0" w:color="auto"/>
      </w:divBdr>
    </w:div>
    <w:div w:id="1573739889">
      <w:bodyDiv w:val="1"/>
      <w:marLeft w:val="0"/>
      <w:marRight w:val="0"/>
      <w:marTop w:val="0"/>
      <w:marBottom w:val="0"/>
      <w:divBdr>
        <w:top w:val="none" w:sz="0" w:space="0" w:color="auto"/>
        <w:left w:val="none" w:sz="0" w:space="0" w:color="auto"/>
        <w:bottom w:val="none" w:sz="0" w:space="0" w:color="auto"/>
        <w:right w:val="none" w:sz="0" w:space="0" w:color="auto"/>
      </w:divBdr>
    </w:div>
    <w:div w:id="1601791099">
      <w:bodyDiv w:val="1"/>
      <w:marLeft w:val="0"/>
      <w:marRight w:val="0"/>
      <w:marTop w:val="0"/>
      <w:marBottom w:val="0"/>
      <w:divBdr>
        <w:top w:val="none" w:sz="0" w:space="0" w:color="auto"/>
        <w:left w:val="none" w:sz="0" w:space="0" w:color="auto"/>
        <w:bottom w:val="none" w:sz="0" w:space="0" w:color="auto"/>
        <w:right w:val="none" w:sz="0" w:space="0" w:color="auto"/>
      </w:divBdr>
    </w:div>
    <w:div w:id="1799377674">
      <w:bodyDiv w:val="1"/>
      <w:marLeft w:val="0"/>
      <w:marRight w:val="0"/>
      <w:marTop w:val="0"/>
      <w:marBottom w:val="0"/>
      <w:divBdr>
        <w:top w:val="none" w:sz="0" w:space="0" w:color="auto"/>
        <w:left w:val="none" w:sz="0" w:space="0" w:color="auto"/>
        <w:bottom w:val="none" w:sz="0" w:space="0" w:color="auto"/>
        <w:right w:val="none" w:sz="0" w:space="0" w:color="auto"/>
      </w:divBdr>
    </w:div>
    <w:div w:id="19206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3A345-5871-44A7-B82B-612A1A76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4415</Words>
  <Characters>24285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alpha</dc:creator>
  <cp:keywords/>
  <dc:description/>
  <cp:lastModifiedBy>the alpha</cp:lastModifiedBy>
  <cp:revision>2</cp:revision>
  <cp:lastPrinted>2025-04-27T19:21:00Z</cp:lastPrinted>
  <dcterms:created xsi:type="dcterms:W3CDTF">2025-04-23T18:44:00Z</dcterms:created>
  <dcterms:modified xsi:type="dcterms:W3CDTF">2025-05-03T22:41:00Z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id="uSkRxW4C"/&gt;&lt;style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