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E6AD7" w14:textId="77777777" w:rsidR="006F66A1" w:rsidRPr="000B6498" w:rsidRDefault="006F66A1" w:rsidP="006F66A1">
      <w:pPr>
        <w:jc w:val="center"/>
        <w:rPr>
          <w:rFonts w:ascii="Times New Roman" w:hAnsi="Times New Roman" w:cs="Times New Roman"/>
          <w:lang w:val="pt-BR"/>
        </w:rPr>
      </w:pPr>
      <w:r w:rsidRPr="000B6498">
        <w:rPr>
          <w:rFonts w:ascii="Times New Roman" w:hAnsi="Times New Roman" w:cs="Times New Roman"/>
          <w:lang w:val="pt-BR"/>
        </w:rPr>
        <w:t>Simulação de Sistemas Sem Fio Assistidos por Superfícies Inteligentes Reconfiguráveis (RIS)</w:t>
      </w:r>
    </w:p>
    <w:p w14:paraId="35C3461B" w14:textId="373E8242" w:rsidR="006F66A1" w:rsidRDefault="006F66A1" w:rsidP="006F66A1">
      <w:pPr>
        <w:jc w:val="center"/>
        <w:rPr>
          <w:rFonts w:ascii="Times New Roman" w:hAnsi="Times New Roman" w:cs="Times New Roman"/>
          <w:lang w:val="pt-BR"/>
        </w:rPr>
      </w:pPr>
      <w:r>
        <w:rPr>
          <w:rFonts w:ascii="Times New Roman" w:hAnsi="Times New Roman" w:cs="Times New Roman"/>
          <w:lang w:val="pt-BR"/>
        </w:rPr>
        <w:t>Diana Laura Fernández Duarte</w:t>
      </w:r>
      <w:r>
        <w:rPr>
          <w:rFonts w:ascii="Times New Roman" w:hAnsi="Times New Roman" w:cs="Times New Roman"/>
          <w:lang w:val="pt-BR"/>
        </w:rPr>
        <w:tab/>
        <w:t xml:space="preserve">José Gabriel </w:t>
      </w:r>
      <w:proofErr w:type="spellStart"/>
      <w:r>
        <w:rPr>
          <w:rFonts w:ascii="Times New Roman" w:hAnsi="Times New Roman" w:cs="Times New Roman"/>
          <w:lang w:val="pt-BR"/>
        </w:rPr>
        <w:t>Claure</w:t>
      </w:r>
      <w:proofErr w:type="spellEnd"/>
      <w:r>
        <w:rPr>
          <w:rFonts w:ascii="Times New Roman" w:hAnsi="Times New Roman" w:cs="Times New Roman"/>
          <w:lang w:val="pt-BR"/>
        </w:rPr>
        <w:t xml:space="preserve"> Sánchez</w:t>
      </w:r>
    </w:p>
    <w:p w14:paraId="2F9B7BFA" w14:textId="7CB57822" w:rsidR="009A5DC2" w:rsidRPr="006F66A1" w:rsidRDefault="009A5DC2" w:rsidP="006F66A1">
      <w:pPr>
        <w:pStyle w:val="Prrafodelista"/>
        <w:numPr>
          <w:ilvl w:val="0"/>
          <w:numId w:val="3"/>
        </w:numPr>
        <w:jc w:val="both"/>
        <w:rPr>
          <w:rFonts w:ascii="Times New Roman" w:hAnsi="Times New Roman" w:cs="Times New Roman"/>
          <w:b/>
          <w:bCs/>
          <w:lang w:val="pt-BR"/>
        </w:rPr>
      </w:pPr>
      <w:r w:rsidRPr="006F66A1">
        <w:rPr>
          <w:rFonts w:ascii="Times New Roman" w:hAnsi="Times New Roman" w:cs="Times New Roman"/>
          <w:b/>
          <w:bCs/>
          <w:lang w:val="pt-BR"/>
        </w:rPr>
        <w:t>Introdução</w:t>
      </w:r>
    </w:p>
    <w:p w14:paraId="020910B8" w14:textId="3BA18739"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O surgimento de novas aplicações cada vez mais exigentes, como a condução autônoma, a telemedicina, a telepresença holográfica, a automação e robótica industrial, e a Internet de Tudo (</w:t>
      </w:r>
      <w:proofErr w:type="spellStart"/>
      <w:r w:rsidRPr="009A5DC2">
        <w:rPr>
          <w:rFonts w:ascii="Times New Roman" w:hAnsi="Times New Roman" w:cs="Times New Roman"/>
          <w:lang w:val="pt-BR"/>
        </w:rPr>
        <w:t>IoE</w:t>
      </w:r>
      <w:proofErr w:type="spellEnd"/>
      <w:r w:rsidRPr="009A5DC2">
        <w:rPr>
          <w:rFonts w:ascii="Times New Roman" w:hAnsi="Times New Roman" w:cs="Times New Roman"/>
          <w:lang w:val="pt-BR"/>
        </w:rPr>
        <w:t xml:space="preserve">), impulsiona o desenvolvimento da sexta geração de redes sem fio (6G). Esta nova geração busca superar as capacidades da atual quinta geração </w:t>
      </w:r>
      <w:r>
        <w:rPr>
          <w:rFonts w:ascii="Times New Roman" w:hAnsi="Times New Roman" w:cs="Times New Roman"/>
          <w:lang w:val="pt-BR"/>
        </w:rPr>
        <w:t>(</w:t>
      </w:r>
      <w:r w:rsidRPr="009A5DC2">
        <w:rPr>
          <w:rFonts w:ascii="Times New Roman" w:hAnsi="Times New Roman" w:cs="Times New Roman"/>
          <w:lang w:val="pt-BR"/>
        </w:rPr>
        <w:t>5G</w:t>
      </w:r>
      <w:r>
        <w:rPr>
          <w:rFonts w:ascii="Times New Roman" w:hAnsi="Times New Roman" w:cs="Times New Roman"/>
          <w:lang w:val="pt-BR"/>
        </w:rPr>
        <w:t>)</w:t>
      </w:r>
      <w:r w:rsidRPr="009A5DC2">
        <w:rPr>
          <w:rFonts w:ascii="Times New Roman" w:hAnsi="Times New Roman" w:cs="Times New Roman"/>
          <w:lang w:val="pt-BR"/>
        </w:rPr>
        <w:t xml:space="preserve">, oferecendo velocidades de transmissão de até 1 </w:t>
      </w:r>
      <w:proofErr w:type="spellStart"/>
      <w:r w:rsidRPr="009A5DC2">
        <w:rPr>
          <w:rFonts w:ascii="Times New Roman" w:hAnsi="Times New Roman" w:cs="Times New Roman"/>
          <w:lang w:val="pt-BR"/>
        </w:rPr>
        <w:t>Tbps</w:t>
      </w:r>
      <w:proofErr w:type="spellEnd"/>
      <w:r w:rsidRPr="009A5DC2">
        <w:rPr>
          <w:rFonts w:ascii="Times New Roman" w:hAnsi="Times New Roman" w:cs="Times New Roman"/>
          <w:lang w:val="pt-BR"/>
        </w:rPr>
        <w:t xml:space="preserve">, latências ultrabaixas na ordem de 0,1 </w:t>
      </w:r>
      <w:proofErr w:type="spellStart"/>
      <w:r w:rsidRPr="009A5DC2">
        <w:rPr>
          <w:rFonts w:ascii="Times New Roman" w:hAnsi="Times New Roman" w:cs="Times New Roman"/>
          <w:lang w:val="pt-BR"/>
        </w:rPr>
        <w:t>ms</w:t>
      </w:r>
      <w:proofErr w:type="spellEnd"/>
      <w:r w:rsidRPr="009A5DC2">
        <w:rPr>
          <w:rFonts w:ascii="Times New Roman" w:hAnsi="Times New Roman" w:cs="Times New Roman"/>
          <w:lang w:val="pt-BR"/>
        </w:rPr>
        <w:t xml:space="preserve"> e uma maior eficiência energética</w:t>
      </w:r>
      <w:r w:rsidR="00755247">
        <w:rPr>
          <w:rFonts w:ascii="Times New Roman" w:hAnsi="Times New Roman" w:cs="Times New Roman"/>
          <w:lang w:val="pt-BR"/>
        </w:rPr>
        <w:t xml:space="preserve"> </w:t>
      </w:r>
      <w:r w:rsidR="00755247">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{"citationID":"tEQBZQst","properties":{"formattedCitation":"[1]","plainCitation":"[1]","noteIndex":0},"citationItems":[{"id":153,"uris":["http://zotero.org/users/7957888/items/8SZQBIUG"],"itemData":{"id":153,"type":"article-journal","abstract":"The demand for wireless connectivity has grown exponentially over the last few decades. Fifth-generation (5G) communications, with far more features than fourth-generation communications, will soon be deployed worldwide. A new paradigm of wireless communication, the sixth-generation (6G) system, with the full support of artificial intelligence, is expected to be implemented between 2027 and 2030. Beyond 5G, some fundamental issues that need to be addressed are higher system capacity, higher data rate, lower latency, higher security, and improved quality of service (QoS) compared to the 5G system. This paper presents the vision of future 6G wireless communication and its network architecture. This article describes emerging technologies such as artificial intelligence, terahertz communications, wireless optical technology, free-space optical network, blockchain, three-dimensional networking, quantum communications, unmanned aerial vehicles, cell-free communications, integration of wireless information and energy transfer, integrated sensing and communication, integrated access-backhaul networks, dynamic network slicing, holographic beamforming, backscatter communication, intelligent reflecting surface, proactive caching, and big data analytics that can assist the 6G architecture development in guaranteeing the QoS. Besides, expected applications with 6G communication requirements and possible technologies are presented. We also describe potential challenges and research directions for achieving this goal.","container-title":"IEEE Open Journal of the Communications Society","DOI":"10.1109/OJCOMS.2020.3010270","ISSN":"2644-125X","page":"957-975","source":"IEEE Xplore","title":"6G Wireless Communication Systems: Applications, Requirements, Technologies, Challenges, and Research Directions","title-short":"6G Wireless Communication Systems","volume":"1","author":[{"family":"Chowdhury","given":"Mostafa Zaman"},{"family":"Shahjalal","given":"Md."},{"family":"Ahmed","given":"Shakil"},{"family":"Jang","given":"Yeong Min"}],"issued":{"date-parts":[["2020"]]}}}],"schema":"https://github.com/citation-style-language/schema/raw/master/csl-citation.json"} </w:instrText>
      </w:r>
      <w:r w:rsidR="00755247">
        <w:rPr>
          <w:rFonts w:ascii="Times New Roman" w:hAnsi="Times New Roman" w:cs="Times New Roman"/>
          <w:lang w:val="pt-BR"/>
        </w:rPr>
        <w:fldChar w:fldCharType="separate"/>
      </w:r>
      <w:r w:rsidR="00755247" w:rsidRPr="00755247">
        <w:rPr>
          <w:rFonts w:ascii="Times New Roman" w:hAnsi="Times New Roman" w:cs="Times New Roman"/>
          <w:lang w:val="pt-BR"/>
        </w:rPr>
        <w:t>[1]</w:t>
      </w:r>
      <w:r w:rsidR="00755247">
        <w:rPr>
          <w:rFonts w:ascii="Times New Roman" w:hAnsi="Times New Roman" w:cs="Times New Roman"/>
          <w:lang w:val="pt-BR"/>
        </w:rPr>
        <w:fldChar w:fldCharType="end"/>
      </w:r>
      <w:r w:rsidRPr="009A5DC2">
        <w:rPr>
          <w:rFonts w:ascii="Times New Roman" w:hAnsi="Times New Roman" w:cs="Times New Roman"/>
          <w:lang w:val="pt-BR"/>
        </w:rPr>
        <w:t>.</w:t>
      </w:r>
    </w:p>
    <w:p w14:paraId="19864C20" w14:textId="6E451E19"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No entanto, para alcançar esses objetivos, é necessário superar diversos desafios associados às comunicações na faixa de </w:t>
      </w:r>
      <w:proofErr w:type="spellStart"/>
      <w:r w:rsidRPr="009A5DC2">
        <w:rPr>
          <w:rFonts w:ascii="Times New Roman" w:hAnsi="Times New Roman" w:cs="Times New Roman"/>
          <w:lang w:val="pt-BR"/>
        </w:rPr>
        <w:t>terahertz</w:t>
      </w:r>
      <w:proofErr w:type="spellEnd"/>
      <w:r w:rsidRPr="009A5DC2">
        <w:rPr>
          <w:rFonts w:ascii="Times New Roman" w:hAnsi="Times New Roman" w:cs="Times New Roman"/>
          <w:lang w:val="pt-BR"/>
        </w:rPr>
        <w:t xml:space="preserve"> (</w:t>
      </w:r>
      <w:proofErr w:type="spellStart"/>
      <w:r w:rsidRPr="009A5DC2">
        <w:rPr>
          <w:rFonts w:ascii="Times New Roman" w:hAnsi="Times New Roman" w:cs="Times New Roman"/>
          <w:lang w:val="pt-BR"/>
        </w:rPr>
        <w:t>THz</w:t>
      </w:r>
      <w:proofErr w:type="spellEnd"/>
      <w:r w:rsidRPr="009A5DC2">
        <w:rPr>
          <w:rFonts w:ascii="Times New Roman" w:hAnsi="Times New Roman" w:cs="Times New Roman"/>
          <w:lang w:val="pt-BR"/>
        </w:rPr>
        <w:t>), tais como a alta atenuação do sinal, a cobertura celular limitada, as flutuações do canal e a conectividade intermitente. Uma solução amplamente difundida na literatura é o uso de sistemas de Múltiplas Entradas e Múltiplas Saídas Massivas (M-MIMO), no entanto, sua implementação implica em um alto custo operacional e resulta em um considerável consumo de energia</w:t>
      </w:r>
      <w:r w:rsidR="00B11F65">
        <w:rPr>
          <w:rFonts w:ascii="Times New Roman" w:hAnsi="Times New Roman" w:cs="Times New Roman"/>
          <w:lang w:val="pt-BR"/>
        </w:rPr>
        <w:t xml:space="preserve"> </w:t>
      </w:r>
      <w:r w:rsidR="00B11F65">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{"citationID":"UK73goVk","properties":{"formattedCitation":"[2]","plainCitation":"[2]","noteIndex":0},"citationItems":[{"id":151,"uris":["http://zotero.org/users/7957888/items/8RPPA9KB"],"itemData":{"id":151,"type":"article-journal","abstract":"The contemporary mobile communication has undergone a significant shift toward a novel phase characterized by the emergence of beyond 5G (B5G) and 6G technologies. These advancements underscore a focus on enhanced spectral efficiency, minimized latency, and expansive connectivity. This paper thoroughly examines 6G wireless communication networks, including their architectural framework, key technologies, application scenarios, use cases, and challenges. The architectural blueprint of 6G networks integrates space, terrestrial, aerial, and undersea communications to facilitate deep connectivity across various scenarios, which is to meet the increasing future communication requisites. Toward this end, the paper proposes 15 key technologies such as terahertz communication, visible light communication, dynamic spectrum sharing, ultra-massive multiple-input multiple-output (MIMO), and in-band full-duplex. Furthermore, typical scenarios and emerging use cases of 6G are detailed. Conclusively, this paper expounds upon potential challenges in developing and suggests the corresponding solutions, fostering a global dialogue on this transformative technological frontier.","container-title":"iScience","DOI":"10.1016/j.isci.2025.112281","ISSN":"2589-0042","issue":"5","journalAbbreviation":"iScience","page":"112281","source":"ScienceDirect","title":"Exploring the key technologies and applications of 6G wireless communication network","volume":"28","author":[{"family":"Li","given":"Pengfei"},{"family":"Fan","given":"Jiaxin"},{"family":"Wu","given":"Jianhong"}],"issued":{"date-parts":[["2025",5,16]]}}}],"schema":"https://github.com/citation-style-language/schema/raw/master/csl-citation.json"} </w:instrText>
      </w:r>
      <w:r w:rsidR="00B11F65">
        <w:rPr>
          <w:rFonts w:ascii="Times New Roman" w:hAnsi="Times New Roman" w:cs="Times New Roman"/>
          <w:lang w:val="pt-BR"/>
        </w:rPr>
        <w:fldChar w:fldCharType="separate"/>
      </w:r>
      <w:r w:rsidR="00755247" w:rsidRPr="00755247">
        <w:rPr>
          <w:rFonts w:ascii="Times New Roman" w:hAnsi="Times New Roman" w:cs="Times New Roman"/>
          <w:lang w:val="pt-BR"/>
        </w:rPr>
        <w:t>[2]</w:t>
      </w:r>
      <w:r w:rsidR="00B11F65">
        <w:rPr>
          <w:rFonts w:ascii="Times New Roman" w:hAnsi="Times New Roman" w:cs="Times New Roman"/>
          <w:lang w:val="pt-BR"/>
        </w:rPr>
        <w:fldChar w:fldCharType="end"/>
      </w:r>
      <w:r w:rsidRPr="009A5DC2">
        <w:rPr>
          <w:rFonts w:ascii="Times New Roman" w:hAnsi="Times New Roman" w:cs="Times New Roman"/>
          <w:lang w:val="pt-BR"/>
        </w:rPr>
        <w:t>.</w:t>
      </w:r>
    </w:p>
    <w:p w14:paraId="78F1515C" w14:textId="31EB49EE"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Essas limitações têm impulsionado a adoção de tecnologias emergentes, como as Superfícies Inteligentes Reconfiguráveis (RIS), capazes de melhorar a capacidade e a cobertura dos sistemas sem fio mediante um controle inteligente do ambiente eletromagnético. São compostas por uma matriz de elementos refletivos passivos de baixo custo, capazes de induzir uma mudança de fase e amplitude no sinal incidente, criando uma quase linha de visão</w:t>
      </w:r>
      <w:r w:rsidR="00807DED">
        <w:rPr>
          <w:rFonts w:ascii="Times New Roman" w:hAnsi="Times New Roman" w:cs="Times New Roman"/>
          <w:lang w:val="pt-BR"/>
        </w:rPr>
        <w:t xml:space="preserve"> (</w:t>
      </w:r>
      <w:proofErr w:type="spellStart"/>
      <w:r w:rsidR="00807DED">
        <w:rPr>
          <w:rFonts w:ascii="Times New Roman" w:hAnsi="Times New Roman" w:cs="Times New Roman"/>
          <w:lang w:val="pt-BR"/>
        </w:rPr>
        <w:t>LoS</w:t>
      </w:r>
      <w:proofErr w:type="spellEnd"/>
      <w:r w:rsidR="00807DED">
        <w:rPr>
          <w:rFonts w:ascii="Times New Roman" w:hAnsi="Times New Roman" w:cs="Times New Roman"/>
          <w:lang w:val="pt-BR"/>
        </w:rPr>
        <w:t>)</w:t>
      </w:r>
      <w:r w:rsidRPr="009A5DC2">
        <w:rPr>
          <w:rFonts w:ascii="Times New Roman" w:hAnsi="Times New Roman" w:cs="Times New Roman"/>
          <w:lang w:val="pt-BR"/>
        </w:rPr>
        <w:t xml:space="preserve"> auxiliar em cenários onde a linha de visão direta entre a estação base (BS) e o receptor se encontra obstruída. Possuem três modos de operação: Refletivo, Transmissivo e Híbrido, e geralmente são classificadas de acordo com a topologia da rede de impedâncias reconfiguráveis.</w:t>
      </w:r>
      <w:r>
        <w:rPr>
          <w:rFonts w:ascii="Times New Roman" w:hAnsi="Times New Roman" w:cs="Times New Roman"/>
          <w:lang w:val="pt-BR"/>
        </w:rPr>
        <w:t xml:space="preserve"> </w:t>
      </w:r>
      <w:r w:rsidRPr="009A5DC2">
        <w:rPr>
          <w:rFonts w:ascii="Times New Roman" w:hAnsi="Times New Roman" w:cs="Times New Roman"/>
          <w:lang w:val="pt-BR"/>
        </w:rPr>
        <w:t xml:space="preserve">As RIS Clássicas possuem cada um de seus elementos conectados individualmente </w:t>
      </w:r>
      <w:r w:rsidR="00807DED" w:rsidRPr="009A5DC2">
        <w:rPr>
          <w:rFonts w:ascii="Times New Roman" w:hAnsi="Times New Roman" w:cs="Times New Roman"/>
          <w:lang w:val="pt-BR"/>
        </w:rPr>
        <w:t>à terra</w:t>
      </w:r>
      <w:r w:rsidRPr="009A5DC2">
        <w:rPr>
          <w:rFonts w:ascii="Times New Roman" w:hAnsi="Times New Roman" w:cs="Times New Roman"/>
          <w:lang w:val="pt-BR"/>
        </w:rPr>
        <w:t>. São modeladas matematicamente como uma matriz diagonal de deslocamento de fase. Essa arquitetura é a mais simples e menos custosa computacionalmente</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{"citationID":"iZg6K7of","properties":{"formattedCitation":"[3]","plainCitation":"[3]","noteIndex":0},"citationItems":[{"id":148,"uris":["http://zotero.org/users/7957888/items/4DBYCXZY"],"itemData":{"id":148,"type":"article-journal","abstract":"Reconfigurable intelligent surfaces (RISs), also known as intelligent reflecting surfaces (IRSs), or large intelligent surfaces (LISs),1 have received significant attention for their potential to enhance the capacity and coverage of wireless networks by smartly reconfiguring the wireless propagation environment. Therefore, RISs are considered a promising technology for the sixth-generation (6G) of communication networks. In this context, we provide a comprehensive overview of the state-of-the-art on RISs, with focus on their operating principles, performance evaluation, beamforming design and resource management, applications of machine learning to RIS-enhanced wireless networks, as well as the integration of RISs with other emerging technologies. We describe the basic principles of RISs both from physics and communications perspectives, based on which we present performance evaluation of multiantenna assisted RIS systems. In addition, we systematically survey existing designs for RIS-enhanced wireless networks encompassing performance analysis, information theory, and performance optimization perspectives. Furthermore, we survey existing research contributions that apply machine learning for tackling challenges in dynamic scenarios, such as random fluctuations of wireless channels and user mobility in RIS-enhanced wireless networks. Last but not least, we identify major issues and research opportunities associated with the integration of RISs and other emerging technologies for applications to next-generation networks.1Without loss of generality, we use the name of RIS in the remainder of this paper.","container-title":"IEEE Communications Surveys &amp; Tutorials","DOI":"10.1109/COMST.2021.3077737","ISSN":"1553-877X","issue":"3","page":"1546-1577","source":"IEEE Xplore","title":"Reconfigurable Intelligent Surfaces: Principles and Opportunities","title-short":"Reconfigurable Intelligent Surfaces","volume":"23","author":[{"family":"Liu","given":"Yuanwei"},{"family":"Liu","given":"Xiao"},{"family":"Mu","given":"Xidong"},{"family":"Hou","given":"Tianwei"},{"family":"Xu","given":"Jiaqi"},{"family":"Di Renzo","given":"Marco"},{"family":"Al-Dhahir","given":"Naofal"}],"issued":{"date-parts":[["2021"]]}}}],"schema":"https://github.com/citation-style-language/schema/raw/master/csl-citation.json"}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[3]</w:t>
      </w:r>
      <w:r w:rsidR="00C351DD">
        <w:rPr>
          <w:rFonts w:ascii="Times New Roman" w:hAnsi="Times New Roman" w:cs="Times New Roman"/>
          <w:lang w:val="pt-BR"/>
        </w:rPr>
        <w:fldChar w:fldCharType="end"/>
      </w:r>
      <w:r w:rsidR="00B11F65">
        <w:rPr>
          <w:rFonts w:ascii="Times New Roman" w:hAnsi="Times New Roman" w:cs="Times New Roman"/>
          <w:lang w:val="pt-BR"/>
        </w:rPr>
        <w:t>,</w:t>
      </w:r>
      <w:r w:rsidR="00B11F65">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{"citationID":"X6K96UKH","properties":{"formattedCitation":"[4]","plainCitation":"[4]","noteIndex":0},"citationItems":[{"id":138,"uris":["http://zotero.org/users/7957888/items/3BS86GPY"],"itemData":{"id":138,"type":"article-journal","abstract":"Intelligent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B11F65">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B11F65">
        <w:rPr>
          <w:rFonts w:ascii="Times New Roman" w:hAnsi="Times New Roman" w:cs="Times New Roman"/>
          <w:lang w:val="pt-BR"/>
        </w:rPr>
        <w:fldChar w:fldCharType="end"/>
      </w:r>
      <w:r w:rsidRPr="009A5DC2">
        <w:rPr>
          <w:rFonts w:ascii="Times New Roman" w:hAnsi="Times New Roman" w:cs="Times New Roman"/>
          <w:lang w:val="pt-BR"/>
        </w:rPr>
        <w:t>.</w:t>
      </w:r>
    </w:p>
    <w:p w14:paraId="2E98B213" w14:textId="576266C8" w:rsidR="00A26EED"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Com o objetivo de aprofundar o desempenho das RIS Clássicas, este trabalho se concentra na análise do estudo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{"citationID":"eWZXMMyE","properties":{"formattedCitation":"[4]","plainCitation":"[4]","noteIndex":0},"citationItems":[{"id":138,"uris":["http://zotero.org/users/7957888/items/3BS86GPY"],"itemData":{"id":138,"type":"article-journal","abstract":"Intelligent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9A5DC2">
        <w:rPr>
          <w:rFonts w:ascii="Times New Roman" w:hAnsi="Times New Roman" w:cs="Times New Roman"/>
          <w:lang w:val="pt-BR"/>
        </w:rPr>
        <w:t xml:space="preserve">, onde é avaliado o impacto do número de elementos </w:t>
      </w:r>
      <w:r w:rsidR="00C351DD">
        <w:rPr>
          <w:rFonts w:ascii="Times New Roman" w:hAnsi="Times New Roman" w:cs="Times New Roman"/>
          <w:i/>
          <w:iCs/>
          <w:lang w:val="pt-BR"/>
        </w:rPr>
        <w:t>M</w:t>
      </w:r>
      <w:r w:rsidRPr="009A5DC2">
        <w:rPr>
          <w:rFonts w:ascii="Times New Roman" w:hAnsi="Times New Roman" w:cs="Times New Roman"/>
          <w:lang w:val="pt-BR"/>
        </w:rPr>
        <w:t xml:space="preserve"> que compõem uma RIS sobre a taxa de transmissão em um sistema SISO de um único usuário. A seguir, na </w:t>
      </w:r>
      <w:r w:rsidRPr="009A5DC2">
        <w:rPr>
          <w:rFonts w:ascii="Times New Roman" w:hAnsi="Times New Roman" w:cs="Times New Roman"/>
          <w:i/>
          <w:iCs/>
          <w:lang w:val="pt-BR"/>
        </w:rPr>
        <w:t>Seção II</w:t>
      </w:r>
      <w:r w:rsidRPr="009A5DC2">
        <w:rPr>
          <w:rFonts w:ascii="Times New Roman" w:hAnsi="Times New Roman" w:cs="Times New Roman"/>
          <w:lang w:val="pt-BR"/>
        </w:rPr>
        <w:t xml:space="preserve"> deste projeto, é descrito o modelo do sistema apresentado em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{"citationID":"xc4ttjrg","properties":{"formattedCitation":"[4]","plainCitation":"[4]","noteIndex":0},"citationItems":[{"id":138,"uris":["http://zotero.org/users/7957888/items/3BS86GPY"],"itemData":{"id":138,"type":"article-journal","abstract":"Intelligent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9A5DC2">
        <w:rPr>
          <w:rFonts w:ascii="Times New Roman" w:hAnsi="Times New Roman" w:cs="Times New Roman"/>
          <w:lang w:val="pt-BR"/>
        </w:rPr>
        <w:t xml:space="preserve">. Na </w:t>
      </w:r>
      <w:r w:rsidRPr="009A5DC2">
        <w:rPr>
          <w:rFonts w:ascii="Times New Roman" w:hAnsi="Times New Roman" w:cs="Times New Roman"/>
          <w:i/>
          <w:iCs/>
          <w:lang w:val="pt-BR"/>
        </w:rPr>
        <w:t>Seção III</w:t>
      </w:r>
      <w:r w:rsidRPr="009A5DC2">
        <w:rPr>
          <w:rFonts w:ascii="Times New Roman" w:hAnsi="Times New Roman" w:cs="Times New Roman"/>
          <w:lang w:val="pt-BR"/>
        </w:rPr>
        <w:t xml:space="preserve">, é analisado o algoritmo implementado e discutidos os resultados e, finalmente, na </w:t>
      </w:r>
      <w:r w:rsidRPr="009A5DC2">
        <w:rPr>
          <w:rFonts w:ascii="Times New Roman" w:hAnsi="Times New Roman" w:cs="Times New Roman"/>
          <w:i/>
          <w:iCs/>
          <w:lang w:val="pt-BR"/>
        </w:rPr>
        <w:t>Seção IV</w:t>
      </w:r>
      <w:r w:rsidRPr="009A5DC2">
        <w:rPr>
          <w:rFonts w:ascii="Times New Roman" w:hAnsi="Times New Roman" w:cs="Times New Roman"/>
          <w:lang w:val="pt-BR"/>
        </w:rPr>
        <w:t>, são apresentadas as conclusões obtidas.</w:t>
      </w:r>
    </w:p>
    <w:p w14:paraId="55238EC3" w14:textId="77777777" w:rsidR="006F66A1" w:rsidRDefault="006F66A1" w:rsidP="009A5DC2">
      <w:pPr>
        <w:jc w:val="both"/>
        <w:rPr>
          <w:rFonts w:ascii="Times New Roman" w:hAnsi="Times New Roman" w:cs="Times New Roman"/>
          <w:lang w:val="pt-BR"/>
        </w:rPr>
      </w:pPr>
    </w:p>
    <w:p w14:paraId="45431135" w14:textId="77777777" w:rsidR="006F66A1" w:rsidRDefault="006F66A1" w:rsidP="009A5DC2">
      <w:pPr>
        <w:jc w:val="both"/>
        <w:rPr>
          <w:rFonts w:ascii="Times New Roman" w:hAnsi="Times New Roman" w:cs="Times New Roman"/>
          <w:lang w:val="pt-BR"/>
        </w:rPr>
      </w:pPr>
    </w:p>
    <w:p w14:paraId="56140AAB" w14:textId="43DBEBE0" w:rsidR="009A5DC2" w:rsidRPr="009A5DC2" w:rsidRDefault="009A5DC2" w:rsidP="009A5DC2">
      <w:pPr>
        <w:pStyle w:val="Prrafodelista"/>
        <w:numPr>
          <w:ilvl w:val="0"/>
          <w:numId w:val="2"/>
        </w:numPr>
        <w:jc w:val="both"/>
        <w:rPr>
          <w:rFonts w:ascii="Times New Roman" w:hAnsi="Times New Roman" w:cs="Times New Roman"/>
          <w:b/>
          <w:bCs/>
          <w:lang w:val="pt-BR"/>
        </w:rPr>
      </w:pPr>
      <w:r w:rsidRPr="009A5DC2">
        <w:rPr>
          <w:rFonts w:ascii="Times New Roman" w:hAnsi="Times New Roman" w:cs="Times New Roman"/>
          <w:b/>
          <w:bCs/>
          <w:lang w:val="pt-BR"/>
        </w:rPr>
        <w:lastRenderedPageBreak/>
        <w:t>Modelo do sistema</w:t>
      </w:r>
    </w:p>
    <w:p w14:paraId="59EA16B7" w14:textId="5358480C"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 sistema é composto por </w:t>
      </w:r>
      <w:r w:rsidR="006F66A1">
        <w:rPr>
          <w:rFonts w:ascii="Times New Roman" w:hAnsi="Times New Roman" w:cs="Times New Roman"/>
          <w:lang w:val="pt-BR"/>
        </w:rPr>
        <w:t xml:space="preserve">uma </w:t>
      </w:r>
      <w:r w:rsidRPr="009A5DC2">
        <w:rPr>
          <w:rFonts w:ascii="Times New Roman" w:hAnsi="Times New Roman" w:cs="Times New Roman"/>
          <w:lang w:val="pt-BR"/>
        </w:rPr>
        <w:t xml:space="preserve">BS e um usuário, ambos equipados com uma única antena. Considera-se que o canal de linha de visão direta entre o transmissor e o receptor está completamente obstruído, de modo que a comunicação entre a BS e o usuário ocorre unicamente por meio de uma RIS composta por </w:t>
      </w:r>
      <w:r w:rsidRPr="009A5DC2">
        <w:rPr>
          <w:rFonts w:ascii="Times New Roman" w:hAnsi="Times New Roman" w:cs="Times New Roman"/>
          <w:i/>
          <w:iCs/>
          <w:lang w:val="pt-BR"/>
        </w:rPr>
        <w:t>M</w:t>
      </w:r>
      <w:r>
        <w:rPr>
          <w:rFonts w:ascii="Times New Roman" w:hAnsi="Times New Roman" w:cs="Times New Roman"/>
          <w:lang w:val="pt-BR"/>
        </w:rPr>
        <w:t xml:space="preserve"> </w:t>
      </w:r>
      <w:r w:rsidRPr="009A5DC2">
        <w:rPr>
          <w:rFonts w:ascii="Times New Roman" w:hAnsi="Times New Roman" w:cs="Times New Roman"/>
          <w:lang w:val="pt-BR"/>
        </w:rPr>
        <w:t>elementos refletivos. O sinal recebido pelo usuário é dado por:</w:t>
      </w:r>
    </w:p>
    <w:p w14:paraId="4562021B" w14:textId="0A870600" w:rsidR="00B11F65" w:rsidRPr="00B11F65" w:rsidRDefault="009A5DC2" w:rsidP="00B11F65">
      <w:pPr>
        <w:jc w:val="center"/>
        <w:rPr>
          <w:rFonts w:ascii="Times New Roman" w:eastAsiaTheme="minorEastAsia" w:hAnsi="Times New Roman" w:cs="Times New Roman"/>
          <w:lang w:val="pt-BR"/>
        </w:rPr>
      </w:pPr>
      <m:oMath>
        <m:r>
          <w:rPr>
            <w:rFonts w:ascii="Cambria Math" w:hAnsi="Cambria Math" w:cs="Times New Roman"/>
          </w:rPr>
          <m:t>y</m:t>
        </m:r>
        <m:r>
          <w:rPr>
            <w:rFonts w:ascii="Cambria Math" w:hAnsi="Cambria Math" w:cs="Times New Roman"/>
            <w:lang w:val="pt-BR"/>
          </w:rPr>
          <m:t xml:space="preserve"> = </m:t>
        </m:r>
        <m:sSubSup>
          <m:sSubSupPr>
            <m:ctrlPr>
              <w:rPr>
                <w:rFonts w:ascii="Cambria Math" w:hAnsi="Cambria Math" w:cs="Times New Roman"/>
                <w:b/>
                <w:bCs/>
                <w:iCs/>
              </w:rPr>
            </m:ctrlPr>
          </m:sSubSupPr>
          <m:e>
            <m:r>
              <m:rPr>
                <m:sty m:val="b"/>
              </m:rPr>
              <w:rPr>
                <w:rFonts w:ascii="Cambria Math" w:hAnsi="Cambria Math" w:cs="Times New Roman"/>
              </w:rPr>
              <m:t>h</m:t>
            </m:r>
          </m:e>
          <m:sub>
            <m:r>
              <m:rPr>
                <m:sty m:val="b"/>
              </m:rPr>
              <w:rPr>
                <w:rFonts w:ascii="Cambria Math" w:hAnsi="Cambria Math" w:cs="Times New Roman"/>
              </w:rPr>
              <m:t>r</m:t>
            </m:r>
          </m:sub>
          <m:sup>
            <m:r>
              <m:rPr>
                <m:sty m:val="b"/>
              </m:rPr>
              <w:rPr>
                <w:rFonts w:ascii="Cambria Math" w:hAnsi="Cambria Math" w:cs="Times New Roman"/>
              </w:rPr>
              <m:t>H</m:t>
            </m:r>
          </m:sup>
        </m:sSubSup>
        <m:r>
          <m:rPr>
            <m:sty m:val="b"/>
          </m:rPr>
          <w:rPr>
            <w:rFonts w:ascii="Cambria Math" w:hAnsi="Cambria Math" w:cs="Times New Roman"/>
          </w:rPr>
          <m:t>θg</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rad>
        <m:r>
          <w:rPr>
            <w:rFonts w:ascii="Cambria Math" w:hAnsi="Cambria Math" w:cs="Times New Roman"/>
          </w:rPr>
          <m:t>x</m:t>
        </m:r>
        <m:r>
          <w:rPr>
            <w:rFonts w:ascii="Cambria Math" w:hAnsi="Cambria Math" w:cs="Times New Roman"/>
            <w:lang w:val="pt-BR"/>
          </w:rPr>
          <m:t>+</m:t>
        </m:r>
        <m:r>
          <w:rPr>
            <w:rFonts w:ascii="Cambria Math" w:eastAsiaTheme="minorEastAsia" w:hAnsi="Cambria Math" w:cs="Times New Roman"/>
          </w:rPr>
          <m:t>z</m:t>
        </m:r>
      </m:oMath>
      <w:r w:rsidR="00B11F65" w:rsidRPr="00B11F65">
        <w:rPr>
          <w:rFonts w:ascii="Times New Roman" w:eastAsiaTheme="minorEastAsia" w:hAnsi="Times New Roman" w:cs="Times New Roman"/>
          <w:lang w:val="pt-BR"/>
        </w:rPr>
        <w:t xml:space="preserve"> </w:t>
      </w:r>
      <w:r w:rsidR="00B11F65">
        <w:rPr>
          <w:rFonts w:ascii="Times New Roman" w:eastAsiaTheme="minorEastAsia" w:hAnsi="Times New Roman" w:cs="Times New Roman"/>
          <w:lang w:val="pt-BR"/>
        </w:rPr>
        <w:t xml:space="preserve">                                  </w:t>
      </w:r>
    </w:p>
    <w:p w14:paraId="3BFB4242" w14:textId="02796613" w:rsidR="009A5DC2" w:rsidRPr="006F66A1" w:rsidRDefault="009A5DC2" w:rsidP="009A5DC2">
      <w:pPr>
        <w:jc w:val="both"/>
        <w:rPr>
          <w:rFonts w:ascii="Times New Roman" w:eastAsiaTheme="minorEastAsia" w:hAnsi="Times New Roman" w:cs="Times New Roman"/>
          <w:lang w:val="pt-BR"/>
        </w:rPr>
      </w:pPr>
      <w:r w:rsidRPr="009A5DC2">
        <w:rPr>
          <w:rFonts w:ascii="Times New Roman" w:hAnsi="Times New Roman" w:cs="Times New Roman"/>
          <w:lang w:val="pt-BR"/>
        </w:rPr>
        <w:t xml:space="preserve">onde </w:t>
      </w:r>
      <m:oMath>
        <m:r>
          <m:rPr>
            <m:sty m:val="b"/>
          </m:rPr>
          <w:rPr>
            <w:rFonts w:ascii="Cambria Math" w:hAnsi="Cambria Math" w:cs="Times New Roman"/>
          </w:rPr>
          <m:t>g</m:t>
        </m:r>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rPr>
              <m:t>M</m:t>
            </m:r>
            <m:r>
              <w:rPr>
                <w:rFonts w:ascii="Cambria Math" w:eastAsiaTheme="minorEastAsia" w:hAnsi="Cambria Math" w:cs="Times New Roman"/>
                <w:lang w:val="pt-BR"/>
              </w:rPr>
              <m:t>×1</m:t>
            </m:r>
          </m:sup>
        </m:sSup>
        <m:r>
          <m:rPr>
            <m:sty m:val="bi"/>
          </m:rPr>
          <w:rPr>
            <w:rFonts w:ascii="Cambria Math" w:eastAsiaTheme="minorEastAsia" w:hAnsi="Cambria Math" w:cs="Times New Roman"/>
            <w:lang w:val="pt-BR"/>
          </w:rPr>
          <m:t xml:space="preserve"> </m:t>
        </m:r>
      </m:oMath>
      <w:r>
        <w:rPr>
          <w:rFonts w:ascii="Times New Roman" w:eastAsiaTheme="minorEastAsia" w:hAnsi="Times New Roman" w:cs="Times New Roman"/>
          <w:lang w:val="pt-BR"/>
        </w:rPr>
        <w:t>e</w:t>
      </w:r>
      <w:r w:rsidRPr="009A5DC2">
        <w:rPr>
          <w:rFonts w:ascii="Times New Roman" w:eastAsiaTheme="minorEastAsia" w:hAnsi="Times New Roman" w:cs="Times New Roman"/>
          <w:b/>
          <w:bCs/>
          <w:lang w:val="pt-BR"/>
        </w:rPr>
        <w:t xml:space="preserve"> </w:t>
      </w:r>
      <m:oMath>
        <m:sSubSup>
          <m:sSubSupPr>
            <m:ctrlPr>
              <w:rPr>
                <w:rFonts w:ascii="Cambria Math" w:hAnsi="Cambria Math" w:cs="Times New Roman"/>
                <w:b/>
                <w:bCs/>
                <w:iCs/>
              </w:rPr>
            </m:ctrlPr>
          </m:sSubSupPr>
          <m:e>
            <m:r>
              <m:rPr>
                <m:sty m:val="b"/>
              </m:rPr>
              <w:rPr>
                <w:rFonts w:ascii="Cambria Math" w:hAnsi="Cambria Math" w:cs="Times New Roman"/>
              </w:rPr>
              <m:t>h</m:t>
            </m:r>
          </m:e>
          <m:sub>
            <m:r>
              <m:rPr>
                <m:sty m:val="p"/>
              </m:rPr>
              <w:rPr>
                <w:rFonts w:ascii="Cambria Math" w:hAnsi="Cambria Math" w:cs="Times New Roman"/>
                <w:lang w:val="pt-BR"/>
              </w:rPr>
              <m:t>r</m:t>
            </m:r>
          </m:sub>
          <m:sup>
            <m:r>
              <m:rPr>
                <m:sty m:val="p"/>
              </m:rPr>
              <w:rPr>
                <w:rFonts w:ascii="Cambria Math" w:hAnsi="Cambria Math" w:cs="Times New Roman"/>
                <w:lang w:val="pt-BR"/>
              </w:rPr>
              <m:t>H</m:t>
            </m:r>
          </m:sup>
        </m:sSubSup>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lang w:val="pt-BR"/>
              </w:rPr>
              <m:t>1×</m:t>
            </m:r>
            <m:r>
              <w:rPr>
                <w:rFonts w:ascii="Cambria Math" w:eastAsiaTheme="minorEastAsia" w:hAnsi="Cambria Math" w:cs="Times New Roman"/>
              </w:rPr>
              <m:t>M</m:t>
            </m:r>
          </m:sup>
        </m:sSup>
      </m:oMath>
      <w:r w:rsidRPr="009A5DC2">
        <w:rPr>
          <w:rFonts w:ascii="Times New Roman" w:hAnsi="Times New Roman" w:cs="Times New Roman"/>
          <w:lang w:val="pt-BR"/>
        </w:rPr>
        <w:t xml:space="preserve">representam os vetores de canal entre a BS e a RIS, e entre a RIS e o usuário, respectivamente. A potência de transmissão é denotada por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r w:rsidRPr="009A5DC2">
        <w:rPr>
          <w:rFonts w:ascii="Times New Roman" w:hAnsi="Times New Roman" w:cs="Times New Roman"/>
          <w:lang w:val="pt-BR"/>
        </w:rPr>
        <w:t xml:space="preserve">​, enquanto o sinal transmitido pela BS é representado por </w:t>
      </w:r>
      <w:r w:rsidRPr="009A5DC2">
        <w:rPr>
          <w:rFonts w:ascii="Times New Roman" w:hAnsi="Times New Roman" w:cs="Times New Roman"/>
          <w:i/>
          <w:iCs/>
          <w:lang w:val="pt-BR"/>
        </w:rPr>
        <w:t>x</w:t>
      </w:r>
      <w:r w:rsidRPr="009A5DC2">
        <w:rPr>
          <w:rFonts w:ascii="Times New Roman" w:hAnsi="Times New Roman" w:cs="Times New Roman"/>
          <w:lang w:val="pt-BR"/>
        </w:rPr>
        <w:t>. Por fim, o ruído branco gaussiano aditivo</w:t>
      </w:r>
      <w:r w:rsidR="006F66A1">
        <w:rPr>
          <w:rFonts w:ascii="Times New Roman" w:hAnsi="Times New Roman" w:cs="Times New Roman"/>
          <w:lang w:val="pt-BR"/>
        </w:rPr>
        <w:t xml:space="preserve"> (AWGN)</w:t>
      </w:r>
      <w:r w:rsidRPr="009A5DC2">
        <w:rPr>
          <w:rFonts w:ascii="Times New Roman" w:hAnsi="Times New Roman" w:cs="Times New Roman"/>
          <w:lang w:val="pt-BR"/>
        </w:rPr>
        <w:t xml:space="preserve"> com média zero e variância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lang w:val="pt-BR"/>
              </w:rPr>
              <m:t>2</m:t>
            </m:r>
          </m:sup>
        </m:sSup>
      </m:oMath>
      <w:r w:rsidRPr="009A5DC2">
        <w:rPr>
          <w:rFonts w:ascii="Times New Roman" w:eastAsiaTheme="minorEastAsia" w:hAnsi="Times New Roman" w:cs="Times New Roman"/>
          <w:lang w:val="pt-BR"/>
        </w:rPr>
        <w:t xml:space="preserve"> </w:t>
      </w:r>
      <w:r w:rsidRPr="009A5DC2">
        <w:rPr>
          <w:rFonts w:ascii="Times New Roman" w:hAnsi="Times New Roman" w:cs="Times New Roman"/>
          <w:lang w:val="pt-BR"/>
        </w:rPr>
        <w:t xml:space="preserve">é representado por </w:t>
      </w:r>
      <w:r w:rsidRPr="009A5DC2">
        <w:rPr>
          <w:rFonts w:ascii="Times New Roman" w:hAnsi="Times New Roman" w:cs="Times New Roman"/>
          <w:i/>
          <w:iCs/>
          <w:lang w:val="pt-BR"/>
        </w:rPr>
        <w:t>z</w:t>
      </w:r>
      <w:r w:rsidRPr="009A5DC2">
        <w:rPr>
          <w:rFonts w:ascii="Times New Roman" w:hAnsi="Times New Roman" w:cs="Times New Roman"/>
          <w:lang w:val="pt-BR"/>
        </w:rPr>
        <w:t>.</w:t>
      </w:r>
    </w:p>
    <w:p w14:paraId="04454EE7" w14:textId="18214317"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A matriz de reflexão da RIS é representada por </w:t>
      </w:r>
      <m:oMath>
        <m:r>
          <m:rPr>
            <m:sty m:val="b"/>
          </m:rPr>
          <w:rPr>
            <w:rFonts w:ascii="Cambria Math" w:hAnsi="Cambria Math" w:cs="Times New Roman"/>
          </w:rPr>
          <m:t>θ</m:t>
        </m:r>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rPr>
              <m:t>M</m:t>
            </m:r>
            <m:r>
              <w:rPr>
                <w:rFonts w:ascii="Cambria Math" w:eastAsiaTheme="minorEastAsia" w:hAnsi="Cambria Math" w:cs="Times New Roman"/>
                <w:lang w:val="pt-BR"/>
              </w:rPr>
              <m:t>×</m:t>
            </m:r>
            <m:r>
              <w:rPr>
                <w:rFonts w:ascii="Cambria Math" w:eastAsiaTheme="minorEastAsia" w:hAnsi="Cambria Math" w:cs="Times New Roman"/>
              </w:rPr>
              <m:t>M</m:t>
            </m:r>
          </m:sup>
        </m:sSup>
      </m:oMath>
      <w:r w:rsidR="006F66A1">
        <w:rPr>
          <w:rFonts w:ascii="Times New Roman" w:hAnsi="Times New Roman" w:cs="Times New Roman"/>
          <w:lang w:val="pt-BR"/>
        </w:rPr>
        <w:t>. C</w:t>
      </w:r>
      <w:r w:rsidRPr="009A5DC2">
        <w:rPr>
          <w:rFonts w:ascii="Times New Roman" w:hAnsi="Times New Roman" w:cs="Times New Roman"/>
          <w:lang w:val="pt-BR"/>
        </w:rPr>
        <w:t>omo mencionado anteriormente, é modelada como uma matriz diagonal dada por:</w:t>
      </w:r>
    </w:p>
    <w:p w14:paraId="32DB0B4F" w14:textId="5FBAE8B8" w:rsidR="009A5DC2" w:rsidRPr="00B11F65" w:rsidRDefault="009A5DC2" w:rsidP="00B11F65">
      <w:pPr>
        <w:ind w:left="2124" w:firstLine="708"/>
        <w:jc w:val="center"/>
        <w:rPr>
          <w:rFonts w:ascii="Times New Roman" w:eastAsiaTheme="minorEastAsia" w:hAnsi="Times New Roman" w:cs="Times New Roman"/>
          <w:b/>
          <w:bCs/>
          <w:iCs/>
          <w:lang w:val="pt-BR"/>
        </w:rPr>
      </w:pPr>
      <m:oMath>
        <m:r>
          <m:rPr>
            <m:sty m:val="b"/>
          </m:rPr>
          <w:rPr>
            <w:rFonts w:ascii="Cambria Math" w:hAnsi="Cambria Math" w:cs="Times New Roman"/>
          </w:rPr>
          <m:t>θ</m:t>
        </m:r>
        <m:r>
          <m:rPr>
            <m:sty m:val="b"/>
          </m:rPr>
          <w:rPr>
            <w:rFonts w:ascii="Cambria Math" w:hAnsi="Cambria Math" w:cs="Times New Roman"/>
            <w:lang w:val="pt-BR"/>
          </w:rPr>
          <m:t>=</m:t>
        </m:r>
        <m:r>
          <m:rPr>
            <m:sty m:val="p"/>
          </m:rPr>
          <w:rPr>
            <w:rFonts w:ascii="Cambria Math" w:hAnsi="Cambria Math" w:cs="Times New Roman"/>
            <w:lang w:val="pt-BR"/>
          </w:rPr>
          <m:t>diag</m:t>
        </m:r>
        <m:r>
          <w:rPr>
            <w:rFonts w:ascii="Cambria Math" w:hAnsi="Cambria Math" w:cs="Times New Roman"/>
            <w:lang w:val="pt-BR"/>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lang w:val="pt-BR"/>
                  </w:rPr>
                  <m:t>1</m:t>
                </m:r>
              </m:sub>
            </m:sSub>
          </m:sup>
        </m:sSup>
        <m:r>
          <w:rPr>
            <w:rFonts w:ascii="Cambria Math" w:hAnsi="Cambria Math" w:cs="Times New Roman"/>
            <w:lang w:val="pt-BR"/>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M</m:t>
                </m:r>
              </m:sub>
            </m:sSub>
          </m:sup>
        </m:sSup>
        <m:r>
          <w:rPr>
            <w:rFonts w:ascii="Cambria Math" w:hAnsi="Cambria Math" w:cs="Times New Roman"/>
            <w:lang w:val="pt-BR"/>
          </w:rPr>
          <m:t>)</m:t>
        </m:r>
      </m:oMath>
      <w:r w:rsidR="00B11F65" w:rsidRPr="00B11F65">
        <w:rPr>
          <w:rFonts w:ascii="Times New Roman" w:eastAsiaTheme="minorEastAsia" w:hAnsi="Times New Roman" w:cs="Times New Roman"/>
          <w:lang w:val="pt-BR"/>
        </w:rPr>
        <w:tab/>
      </w:r>
      <w:r w:rsidR="00B11F65" w:rsidRPr="00B11F65">
        <w:rPr>
          <w:rFonts w:ascii="Times New Roman" w:eastAsiaTheme="minorEastAsia" w:hAnsi="Times New Roman" w:cs="Times New Roman"/>
          <w:lang w:val="pt-BR"/>
        </w:rPr>
        <w:tab/>
      </w:r>
      <w:r w:rsidR="00B11F65" w:rsidRPr="00B11F65">
        <w:rPr>
          <w:rFonts w:ascii="Times New Roman" w:eastAsiaTheme="minorEastAsia" w:hAnsi="Times New Roman" w:cs="Times New Roman"/>
          <w:lang w:val="pt-BR"/>
        </w:rPr>
        <w:tab/>
      </w:r>
    </w:p>
    <w:p w14:paraId="3794E7E6" w14:textId="3EA0A3F6"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onde </w:t>
      </w: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r>
          <w:rPr>
            <w:rFonts w:ascii="Cambria Math" w:eastAsiaTheme="minorEastAsia" w:hAnsi="Cambria Math" w:cs="Times New Roman"/>
          </w:rPr>
          <m:t>ϵ</m:t>
        </m:r>
        <m:r>
          <w:rPr>
            <w:rFonts w:ascii="Cambria Math" w:eastAsiaTheme="minorEastAsia" w:hAnsi="Cambria Math" w:cs="Times New Roman"/>
            <w:lang w:val="pt-BR"/>
          </w:rPr>
          <m:t>[0, 2</m:t>
        </m:r>
        <m:r>
          <w:rPr>
            <w:rFonts w:ascii="Cambria Math" w:eastAsiaTheme="minorEastAsia" w:hAnsi="Cambria Math" w:cs="Times New Roman"/>
          </w:rPr>
          <m:t>π</m:t>
        </m:r>
        <m:r>
          <w:rPr>
            <w:rFonts w:ascii="Cambria Math" w:eastAsiaTheme="minorEastAsia" w:hAnsi="Cambria Math" w:cs="Times New Roman"/>
            <w:lang w:val="pt-BR"/>
          </w:rPr>
          <m:t>),</m:t>
        </m:r>
      </m:oMath>
      <w:r w:rsidRPr="009A5DC2">
        <w:rPr>
          <w:rFonts w:ascii="Times New Roman" w:hAnsi="Times New Roman" w:cs="Times New Roman"/>
          <w:lang w:val="pt-BR"/>
        </w:rPr>
        <w:t xml:space="preserve"> </w:t>
      </w:r>
      <m:oMath>
        <m:r>
          <w:rPr>
            <w:rFonts w:ascii="Cambria Math" w:eastAsiaTheme="minorEastAsia" w:hAnsi="Cambria Math" w:cs="Times New Roman"/>
            <w:lang w:val="pt-BR"/>
          </w:rPr>
          <m:t xml:space="preserve">para </m:t>
        </m:r>
        <m:r>
          <w:rPr>
            <w:rFonts w:ascii="Cambria Math" w:eastAsiaTheme="minorEastAsia" w:hAnsi="Cambria Math" w:cs="Times New Roman"/>
          </w:rPr>
          <m:t>m</m:t>
        </m:r>
        <m:r>
          <w:rPr>
            <w:rFonts w:ascii="Cambria Math" w:eastAsiaTheme="minorEastAsia" w:hAnsi="Cambria Math" w:cs="Times New Roman"/>
            <w:lang w:val="pt-BR"/>
          </w:rPr>
          <m:t>∈{1,...,</m:t>
        </m:r>
        <m:r>
          <w:rPr>
            <w:rFonts w:ascii="Cambria Math" w:eastAsiaTheme="minorEastAsia" w:hAnsi="Cambria Math" w:cs="Times New Roman"/>
          </w:rPr>
          <m:t>M</m:t>
        </m:r>
        <m:r>
          <w:rPr>
            <w:rFonts w:ascii="Cambria Math" w:eastAsiaTheme="minorEastAsia" w:hAnsi="Cambria Math" w:cs="Times New Roman"/>
            <w:lang w:val="pt-BR"/>
          </w:rPr>
          <m:t xml:space="preserve">} </m:t>
        </m:r>
      </m:oMath>
      <w:r w:rsidRPr="009A5DC2">
        <w:rPr>
          <w:rFonts w:ascii="Times New Roman" w:hAnsi="Times New Roman" w:cs="Times New Roman"/>
          <w:lang w:val="pt-BR"/>
        </w:rPr>
        <w:t xml:space="preserve">, representa a fase ótima que deve ser aplicada por cada elemento da RIS, considerando-se que se tem conhecimento perfeito da Informação do Estado do Canal (CSI). Dessa forma, </w:t>
      </w: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oMath>
      <w:r w:rsidRPr="009A5DC2">
        <w:rPr>
          <w:rFonts w:ascii="Times New Roman" w:hAnsi="Times New Roman" w:cs="Times New Roman"/>
          <w:lang w:val="pt-BR"/>
        </w:rPr>
        <w:t>​ é dada por:</w:t>
      </w:r>
    </w:p>
    <w:p w14:paraId="102E4F46" w14:textId="753AA8E1" w:rsidR="009A5DC2" w:rsidRPr="00B11F65" w:rsidRDefault="00000000" w:rsidP="00B11F65">
      <w:pPr>
        <w:ind w:left="1416" w:firstLine="708"/>
        <w:jc w:val="center"/>
        <w:rPr>
          <w:rFonts w:ascii="Times New Roman" w:eastAsiaTheme="minorEastAsia" w:hAnsi="Times New Roman" w:cs="Times New Roman"/>
          <w:iCs/>
          <w:lang w:val="pt-BR"/>
        </w:rPr>
      </w:pP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r>
          <w:rPr>
            <w:rFonts w:ascii="Cambria Math" w:hAnsi="Cambria Math" w:cs="Times New Roman"/>
            <w:lang w:val="pt-BR"/>
          </w:rPr>
          <m:t>=-</m:t>
        </m:r>
        <m:r>
          <w:rPr>
            <w:rFonts w:ascii="Cambria Math" w:hAnsi="Cambria Math" w:cs="Times New Roman"/>
          </w:rPr>
          <m:t>arg</m:t>
        </m:r>
        <m:r>
          <w:rPr>
            <w:rFonts w:ascii="Cambria Math" w:hAnsi="Cambria Math" w:cs="Times New Roman"/>
            <w:lang w:val="pt-BR"/>
          </w:rPr>
          <m:t>(</m:t>
        </m:r>
        <m:sSub>
          <m:sSubPr>
            <m:ctrlPr>
              <w:rPr>
                <w:rFonts w:ascii="Cambria Math" w:hAnsi="Cambria Math" w:cs="Times New Roman"/>
                <w:i/>
                <w:iCs/>
              </w:rPr>
            </m:ctrlPr>
          </m:sSubPr>
          <m:e>
            <m:r>
              <m:rPr>
                <m:sty m:val="b"/>
              </m:rPr>
              <w:rPr>
                <w:rFonts w:ascii="Cambria Math" w:hAnsi="Cambria Math" w:cs="Times New Roman"/>
              </w:rPr>
              <m:t>g</m:t>
            </m:r>
          </m:e>
          <m:sub>
            <m:r>
              <w:rPr>
                <w:rFonts w:ascii="Cambria Math" w:hAnsi="Cambria Math" w:cs="Times New Roman"/>
              </w:rPr>
              <m:t>m</m:t>
            </m:r>
          </m:sub>
        </m:sSub>
        <m:r>
          <w:rPr>
            <w:rFonts w:ascii="Cambria Math" w:hAnsi="Cambria Math" w:cs="Times New Roman"/>
            <w:lang w:val="pt-BR"/>
          </w:rPr>
          <m:t>)-</m:t>
        </m:r>
        <m:r>
          <w:rPr>
            <w:rFonts w:ascii="Cambria Math" w:hAnsi="Cambria Math" w:cs="Times New Roman"/>
          </w:rPr>
          <m:t>arg</m:t>
        </m:r>
        <m:r>
          <w:rPr>
            <w:rFonts w:ascii="Cambria Math" w:hAnsi="Cambria Math" w:cs="Times New Roman"/>
            <w:lang w:val="pt-BR"/>
          </w:rPr>
          <m:t>(</m:t>
        </m:r>
        <m:sSub>
          <m:sSubPr>
            <m:ctrlPr>
              <w:rPr>
                <w:rFonts w:ascii="Cambria Math" w:hAnsi="Cambria Math" w:cs="Times New Roman"/>
                <w:i/>
                <w:iCs/>
              </w:rPr>
            </m:ctrlPr>
          </m:sSubPr>
          <m:e>
            <m:r>
              <m:rPr>
                <m:sty m:val="b"/>
              </m:rPr>
              <w:rPr>
                <w:rFonts w:ascii="Cambria Math" w:hAnsi="Cambria Math" w:cs="Times New Roman"/>
              </w:rPr>
              <m:t>h</m:t>
            </m:r>
          </m:e>
          <m:sub>
            <m:r>
              <w:rPr>
                <w:rFonts w:ascii="Cambria Math" w:hAnsi="Cambria Math" w:cs="Times New Roman"/>
              </w:rPr>
              <m:t>m</m:t>
            </m:r>
          </m:sub>
        </m:sSub>
        <m:r>
          <w:rPr>
            <w:rFonts w:ascii="Cambria Math" w:hAnsi="Cambria Math" w:cs="Times New Roman"/>
            <w:lang w:val="pt-BR"/>
          </w:rPr>
          <m:t>)</m:t>
        </m:r>
      </m:oMath>
      <w:r w:rsidR="00B11F65">
        <w:rPr>
          <w:rFonts w:ascii="Times New Roman" w:eastAsiaTheme="minorEastAsia" w:hAnsi="Times New Roman" w:cs="Times New Roman"/>
          <w:lang w:val="pt-BR"/>
        </w:rPr>
        <w:tab/>
      </w:r>
      <w:r w:rsidR="00B11F65">
        <w:rPr>
          <w:rFonts w:ascii="Times New Roman" w:eastAsiaTheme="minorEastAsia" w:hAnsi="Times New Roman" w:cs="Times New Roman"/>
          <w:lang w:val="pt-BR"/>
        </w:rPr>
        <w:tab/>
        <w:t xml:space="preserve">                                            </w:t>
      </w:r>
    </w:p>
    <w:p w14:paraId="6D39BB30" w14:textId="7B614750" w:rsidR="009A5DC2" w:rsidRPr="009A5DC2" w:rsidRDefault="009A5DC2" w:rsidP="00B11F65">
      <w:pPr>
        <w:jc w:val="both"/>
        <w:rPr>
          <w:rFonts w:ascii="Times New Roman" w:hAnsi="Times New Roman" w:cs="Times New Roman"/>
          <w:lang w:val="pt-BR"/>
        </w:rPr>
      </w:pPr>
      <w:r w:rsidRPr="009A5DC2">
        <w:rPr>
          <w:rFonts w:ascii="Times New Roman" w:hAnsi="Times New Roman" w:cs="Times New Roman"/>
          <w:lang w:val="pt-BR"/>
        </w:rPr>
        <w:t xml:space="preserve">Para modelar os canais de comunicação, consideram-se três tipos de desvanecimento: Rayleigh, </w:t>
      </w:r>
      <w:proofErr w:type="spellStart"/>
      <w:r w:rsidRPr="009A5DC2">
        <w:rPr>
          <w:rFonts w:ascii="Times New Roman" w:hAnsi="Times New Roman" w:cs="Times New Roman"/>
          <w:lang w:val="pt-BR"/>
        </w:rPr>
        <w:t>Rician</w:t>
      </w:r>
      <w:proofErr w:type="spellEnd"/>
      <w:r w:rsidRPr="009A5DC2">
        <w:rPr>
          <w:rFonts w:ascii="Times New Roman" w:hAnsi="Times New Roman" w:cs="Times New Roman"/>
          <w:lang w:val="pt-BR"/>
        </w:rPr>
        <w:t xml:space="preserve"> e linha de visão (</w:t>
      </w:r>
      <w:proofErr w:type="spellStart"/>
      <w:r w:rsidRPr="009A5DC2">
        <w:rPr>
          <w:rFonts w:ascii="Times New Roman" w:hAnsi="Times New Roman" w:cs="Times New Roman"/>
          <w:lang w:val="pt-BR"/>
        </w:rPr>
        <w:t>LoS</w:t>
      </w:r>
      <w:proofErr w:type="spellEnd"/>
      <w:r w:rsidRPr="009A5DC2">
        <w:rPr>
          <w:rFonts w:ascii="Times New Roman" w:hAnsi="Times New Roman" w:cs="Times New Roman"/>
          <w:lang w:val="pt-BR"/>
        </w:rPr>
        <w:t xml:space="preserve">), com o objetivo de representar diferentes condições de propagação do ambiente. A perda de </w:t>
      </w:r>
      <w:r>
        <w:rPr>
          <w:rFonts w:ascii="Times New Roman" w:hAnsi="Times New Roman" w:cs="Times New Roman"/>
          <w:lang w:val="pt-BR"/>
        </w:rPr>
        <w:t>percurso</w:t>
      </w:r>
      <w:r w:rsidRPr="009A5DC2">
        <w:rPr>
          <w:rFonts w:ascii="Times New Roman" w:hAnsi="Times New Roman" w:cs="Times New Roman"/>
          <w:lang w:val="pt-BR"/>
        </w:rPr>
        <w:t xml:space="preserve"> é dada por:</w:t>
      </w:r>
    </w:p>
    <w:p w14:paraId="157337CE" w14:textId="77777777" w:rsidR="009A5DC2" w:rsidRPr="005A5887" w:rsidRDefault="00000000" w:rsidP="009A5DC2">
      <w:pPr>
        <w:jc w:val="both"/>
        <w:rPr>
          <w:rFonts w:ascii="Times New Roman" w:eastAsiaTheme="minorEastAsia" w:hAnsi="Times New Roman" w:cs="Times New Roman"/>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β</m:t>
              </m:r>
            </m:e>
            <m:sub>
              <m:r>
                <w:rPr>
                  <w:rFonts w:ascii="Cambria Math" w:eastAsiaTheme="minorEastAsia" w:hAnsi="Cambria Math" w:cs="Times New Roman"/>
                </w:rPr>
                <m:t>l</m:t>
              </m:r>
            </m:sub>
          </m:sSub>
          <m:r>
            <w:rPr>
              <w:rFonts w:ascii="Cambria Math" w:eastAsiaTheme="minorEastAsia" w:hAnsi="Cambria Math" w:cs="Times New Roman"/>
            </w:rPr>
            <m:t>=</m:t>
          </m:r>
          <m:f>
            <m:fPr>
              <m:ctrlPr>
                <w:rPr>
                  <w:rFonts w:ascii="Cambria Math" w:eastAsiaTheme="minorEastAsia" w:hAnsi="Cambria Math" w:cs="Times New Roman"/>
                  <w:i/>
                  <w:iCs/>
                </w:rPr>
              </m:ctrlPr>
            </m:fPr>
            <m:num>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o</m:t>
                  </m:r>
                </m:sub>
              </m:sSub>
            </m:num>
            <m:den>
              <m:sSubSup>
                <m:sSubSupPr>
                  <m:ctrlPr>
                    <w:rPr>
                      <w:rFonts w:ascii="Cambria Math" w:eastAsiaTheme="minorEastAsia" w:hAnsi="Cambria Math" w:cs="Times New Roman"/>
                      <w:i/>
                      <w:iCs/>
                    </w:rPr>
                  </m:ctrlPr>
                </m:sSubSupPr>
                <m:e>
                  <m:r>
                    <w:rPr>
                      <w:rFonts w:ascii="Cambria Math" w:eastAsiaTheme="minorEastAsia" w:hAnsi="Cambria Math" w:cs="Times New Roman"/>
                    </w:rPr>
                    <m:t>d</m:t>
                  </m:r>
                </m:e>
                <m:sub>
                  <m:r>
                    <w:rPr>
                      <w:rFonts w:ascii="Cambria Math" w:eastAsiaTheme="minorEastAsia" w:hAnsi="Cambria Math" w:cs="Times New Roman"/>
                    </w:rPr>
                    <m:t>o</m:t>
                  </m:r>
                </m:sub>
                <m:sup>
                  <m:r>
                    <w:rPr>
                      <w:rFonts w:ascii="Cambria Math" w:eastAsiaTheme="minorEastAsia" w:hAnsi="Cambria Math" w:cs="Times New Roman"/>
                    </w:rPr>
                    <m:t>α</m:t>
                  </m:r>
                </m:sup>
              </m:sSubSup>
            </m:den>
          </m:f>
        </m:oMath>
      </m:oMathPara>
    </w:p>
    <w:p w14:paraId="555DD9C2" w14:textId="4B0B9D80"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onde </w:t>
      </w:r>
      <m:oMath>
        <m:r>
          <w:rPr>
            <w:rFonts w:ascii="Cambria Math" w:eastAsiaTheme="minorEastAsia" w:hAnsi="Cambria Math" w:cs="Times New Roman"/>
          </w:rPr>
          <m:t>l</m:t>
        </m:r>
        <m:r>
          <w:rPr>
            <w:rFonts w:ascii="Cambria Math" w:eastAsiaTheme="minorEastAsia" w:hAnsi="Cambria Math" w:cs="Times New Roman"/>
            <w:lang w:val="pt-BR"/>
          </w:rPr>
          <m:t>∈{h,g}</m:t>
        </m:r>
      </m:oMath>
      <w:r w:rsidRPr="009A5DC2">
        <w:rPr>
          <w:rFonts w:ascii="Times New Roman" w:hAnsi="Times New Roman" w:cs="Times New Roman"/>
          <w:lang w:val="pt-BR"/>
        </w:rPr>
        <w:t xml:space="preserve"> denota os cana</w:t>
      </w:r>
      <w:r w:rsidR="000B6498">
        <w:rPr>
          <w:rFonts w:ascii="Times New Roman" w:hAnsi="Times New Roman" w:cs="Times New Roman"/>
          <w:lang w:val="pt-BR"/>
        </w:rPr>
        <w:t>is</w:t>
      </w:r>
      <w:r w:rsidRPr="009A5DC2">
        <w:rPr>
          <w:rFonts w:ascii="Times New Roman" w:hAnsi="Times New Roman" w:cs="Times New Roman"/>
          <w:lang w:val="pt-BR"/>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o</m:t>
            </m:r>
          </m:sub>
        </m:sSub>
      </m:oMath>
      <w:r w:rsidRPr="009A5DC2">
        <w:rPr>
          <w:rFonts w:ascii="Times New Roman" w:hAnsi="Times New Roman" w:cs="Times New Roman"/>
          <w:lang w:val="pt-BR"/>
        </w:rPr>
        <w:t xml:space="preserve"> representa a distância euclidiana entre os elementos correspondentes, </w:t>
      </w:r>
      <w:r w:rsidRPr="005A5887">
        <w:rPr>
          <w:rFonts w:ascii="Times New Roman" w:eastAsiaTheme="minorEastAsia" w:hAnsi="Times New Roman" w:cs="Times New Roman"/>
          <w:i/>
          <w:iCs/>
        </w:rPr>
        <w:t>α</w:t>
      </w:r>
      <w:r w:rsidRPr="009A5DC2">
        <w:rPr>
          <w:rFonts w:ascii="Times New Roman" w:hAnsi="Times New Roman" w:cs="Times New Roman"/>
          <w:lang w:val="pt-BR"/>
        </w:rPr>
        <w:t xml:space="preserve"> representa o expoente de perda de </w:t>
      </w:r>
      <w:r>
        <w:rPr>
          <w:rFonts w:ascii="Times New Roman" w:hAnsi="Times New Roman" w:cs="Times New Roman"/>
          <w:lang w:val="pt-BR"/>
        </w:rPr>
        <w:t>percurso</w:t>
      </w:r>
      <w:r w:rsidRPr="009A5DC2">
        <w:rPr>
          <w:rFonts w:ascii="Times New Roman" w:hAnsi="Times New Roman" w:cs="Times New Roman"/>
          <w:lang w:val="pt-BR"/>
        </w:rPr>
        <w:t xml:space="preserve"> e </w:t>
      </w:r>
      <m:oMath>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o</m:t>
            </m:r>
          </m:sub>
        </m:sSub>
      </m:oMath>
      <w:r w:rsidRPr="009A5DC2">
        <w:rPr>
          <w:rFonts w:ascii="Times New Roman" w:eastAsiaTheme="minorEastAsia" w:hAnsi="Times New Roman" w:cs="Times New Roman"/>
          <w:iCs/>
          <w:lang w:val="pt-BR"/>
        </w:rPr>
        <w:t xml:space="preserve"> </w:t>
      </w:r>
      <w:r w:rsidRPr="009A5DC2">
        <w:rPr>
          <w:rFonts w:ascii="Times New Roman" w:hAnsi="Times New Roman" w:cs="Times New Roman"/>
          <w:lang w:val="pt-BR"/>
        </w:rPr>
        <w:t>​denota um fator constante de perda.</w:t>
      </w:r>
    </w:p>
    <w:p w14:paraId="0C77C6CA" w14:textId="587D06FA"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A SNR recebida pelo usuário </w:t>
      </w:r>
      <m:oMath>
        <m:r>
          <w:rPr>
            <w:rFonts w:ascii="Cambria Math" w:eastAsiaTheme="minorEastAsia" w:hAnsi="Cambria Math" w:cs="Times New Roman"/>
          </w:rPr>
          <m:t>γ</m:t>
        </m:r>
      </m:oMath>
      <w:r w:rsidRPr="009A5DC2">
        <w:rPr>
          <w:rFonts w:ascii="Times New Roman" w:eastAsiaTheme="minorEastAsia" w:hAnsi="Times New Roman" w:cs="Times New Roman"/>
          <w:iCs/>
          <w:lang w:val="pt-BR"/>
        </w:rPr>
        <w:t xml:space="preserve"> </w:t>
      </w:r>
      <w:r w:rsidRPr="009A5DC2">
        <w:rPr>
          <w:rFonts w:ascii="Times New Roman" w:hAnsi="Times New Roman" w:cs="Times New Roman"/>
          <w:lang w:val="pt-BR"/>
        </w:rPr>
        <w:t>é dada por:</w:t>
      </w:r>
    </w:p>
    <w:p w14:paraId="3951E514" w14:textId="77777777" w:rsidR="009A5DC2" w:rsidRPr="005A5887" w:rsidRDefault="009A5DC2" w:rsidP="009A5DC2">
      <w:pPr>
        <w:jc w:val="both"/>
        <w:rPr>
          <w:rFonts w:ascii="Times New Roman" w:eastAsiaTheme="minorEastAsia" w:hAnsi="Times New Roman" w:cs="Times New Roman"/>
        </w:rPr>
      </w:pPr>
      <m:oMathPara>
        <m:oMath>
          <m:r>
            <w:rPr>
              <w:rFonts w:ascii="Cambria Math" w:eastAsiaTheme="minorEastAsia" w:hAnsi="Cambria Math" w:cs="Times New Roman"/>
            </w:rPr>
            <m:t xml:space="preserve">γ = </m:t>
          </m:r>
          <m:f>
            <m:fPr>
              <m:ctrlPr>
                <w:rPr>
                  <w:rFonts w:ascii="Cambria Math" w:eastAsiaTheme="minorEastAsia" w:hAnsi="Cambria Math" w:cs="Times New Roman"/>
                  <w:i/>
                </w:rPr>
              </m:ctrlPr>
            </m:fPr>
            <m:num>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b/>
                          <w:bCs/>
                          <w:iCs/>
                        </w:rPr>
                      </m:ctrlPr>
                    </m:sSubSupPr>
                    <m:e>
                      <m:r>
                        <m:rPr>
                          <m:sty m:val="b"/>
                        </m:rPr>
                        <w:rPr>
                          <w:rFonts w:ascii="Cambria Math" w:hAnsi="Cambria Math" w:cs="Times New Roman"/>
                        </w:rPr>
                        <m:t>h</m:t>
                      </m:r>
                    </m:e>
                    <m:sub>
                      <m:r>
                        <m:rPr>
                          <m:sty m:val="b"/>
                        </m:rPr>
                        <w:rPr>
                          <w:rFonts w:ascii="Cambria Math" w:hAnsi="Cambria Math" w:cs="Times New Roman"/>
                        </w:rPr>
                        <m:t>r</m:t>
                      </m:r>
                    </m:sub>
                    <m:sup>
                      <m:r>
                        <m:rPr>
                          <m:sty m:val="b"/>
                        </m:rPr>
                        <w:rPr>
                          <w:rFonts w:ascii="Cambria Math" w:hAnsi="Cambria Math" w:cs="Times New Roman"/>
                        </w:rPr>
                        <m:t>H</m:t>
                      </m:r>
                    </m:sup>
                  </m:sSubSup>
                  <m:r>
                    <m:rPr>
                      <m:sty m:val="b"/>
                    </m:rPr>
                    <w:rPr>
                      <w:rFonts w:ascii="Cambria Math" w:hAnsi="Cambria Math" w:cs="Times New Roman"/>
                    </w:rPr>
                    <m:t>θg</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rad>
                  <m:r>
                    <w:rPr>
                      <w:rFonts w:ascii="Cambria Math" w:hAnsi="Cambria Math" w:cs="Times New Roman"/>
                    </w:rPr>
                    <m:t>|</m:t>
                  </m:r>
                </m:e>
                <m:sup>
                  <m:r>
                    <w:rPr>
                      <w:rFonts w:ascii="Cambria Math"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oMath>
      </m:oMathPara>
    </w:p>
    <w:p w14:paraId="4C17547D" w14:textId="199D8A7D"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Finalmente, a taxa de dados </w:t>
      </w:r>
      <m:oMath>
        <m:r>
          <w:rPr>
            <w:rFonts w:ascii="Cambria Math" w:hAnsi="Cambria Math" w:cs="Times New Roman"/>
          </w:rPr>
          <m:t>r</m:t>
        </m:r>
      </m:oMath>
      <w:r w:rsidRPr="009A5DC2">
        <w:rPr>
          <w:rFonts w:ascii="Times New Roman" w:hAnsi="Times New Roman" w:cs="Times New Roman"/>
          <w:lang w:val="pt-BR"/>
        </w:rPr>
        <w:t xml:space="preserve"> experimentada pelo usuário é:</w:t>
      </w:r>
    </w:p>
    <w:p w14:paraId="1994FFF2" w14:textId="77777777" w:rsidR="009A5DC2" w:rsidRPr="006F66A1" w:rsidRDefault="009A5DC2" w:rsidP="009A5DC2">
      <w:pPr>
        <w:jc w:val="both"/>
        <w:rPr>
          <w:rFonts w:ascii="Times New Roman" w:eastAsiaTheme="minorEastAsia" w:hAnsi="Times New Roman" w:cs="Times New Roman"/>
          <w:i/>
        </w:rPr>
      </w:pPr>
      <m:oMathPara>
        <m:oMath>
          <m:r>
            <w:rPr>
              <w:rFonts w:ascii="Cambria Math" w:hAnsi="Cambria Math" w:cs="Times New Roman"/>
            </w:rPr>
            <m:t xml:space="preserve">r =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(1 + γ)</m:t>
          </m:r>
        </m:oMath>
      </m:oMathPara>
    </w:p>
    <w:p w14:paraId="1BF58265" w14:textId="77777777" w:rsidR="006F66A1" w:rsidRPr="00AC436D" w:rsidRDefault="006F66A1" w:rsidP="009A5DC2">
      <w:pPr>
        <w:jc w:val="both"/>
        <w:rPr>
          <w:rFonts w:ascii="Times New Roman" w:eastAsiaTheme="minorEastAsia" w:hAnsi="Times New Roman" w:cs="Times New Roman"/>
          <w:i/>
        </w:rPr>
      </w:pPr>
    </w:p>
    <w:p w14:paraId="6091641E" w14:textId="6A7DE2A9" w:rsidR="00807DED" w:rsidRPr="00807DED" w:rsidRDefault="00807DED" w:rsidP="00807DED">
      <w:pPr>
        <w:pStyle w:val="Prrafodelista"/>
        <w:numPr>
          <w:ilvl w:val="0"/>
          <w:numId w:val="2"/>
        </w:numPr>
        <w:jc w:val="both"/>
        <w:rPr>
          <w:rFonts w:ascii="Times New Roman" w:hAnsi="Times New Roman" w:cs="Times New Roman"/>
          <w:b/>
          <w:bCs/>
        </w:rPr>
      </w:pPr>
      <w:r w:rsidRPr="00807DED">
        <w:rPr>
          <w:rFonts w:ascii="Times New Roman" w:hAnsi="Times New Roman" w:cs="Times New Roman"/>
          <w:b/>
          <w:bCs/>
        </w:rPr>
        <w:lastRenderedPageBreak/>
        <w:t>Algoritmo</w:t>
      </w:r>
      <w:r>
        <w:rPr>
          <w:rFonts w:ascii="Times New Roman" w:hAnsi="Times New Roman" w:cs="Times New Roman"/>
          <w:b/>
          <w:bCs/>
        </w:rPr>
        <w:t xml:space="preserve"> </w:t>
      </w:r>
    </w:p>
    <w:p w14:paraId="44BAAF96" w14:textId="5F497FC2" w:rsidR="00807DED" w:rsidRPr="00807DED" w:rsidRDefault="00807DED" w:rsidP="00807DED">
      <w:pPr>
        <w:jc w:val="both"/>
        <w:rPr>
          <w:rFonts w:ascii="Times New Roman" w:hAnsi="Times New Roman" w:cs="Times New Roman"/>
          <w:lang w:val="pt-BR"/>
        </w:rPr>
      </w:pPr>
      <w:r w:rsidRPr="00807DED">
        <w:rPr>
          <w:rFonts w:ascii="Times New Roman" w:hAnsi="Times New Roman" w:cs="Times New Roman"/>
          <w:lang w:val="pt-BR"/>
        </w:rPr>
        <w:t xml:space="preserve">O principal objetivo deste projeto é avaliar como o aumento do número de elementos </w:t>
      </w:r>
      <w:r w:rsidRPr="00807DED">
        <w:rPr>
          <w:rFonts w:ascii="Times New Roman" w:hAnsi="Times New Roman" w:cs="Times New Roman"/>
          <w:i/>
          <w:iCs/>
          <w:lang w:val="pt-BR"/>
        </w:rPr>
        <w:t>M</w:t>
      </w:r>
      <w:r w:rsidRPr="00807DED">
        <w:rPr>
          <w:rFonts w:ascii="Times New Roman" w:hAnsi="Times New Roman" w:cs="Times New Roman"/>
          <w:lang w:val="pt-BR"/>
        </w:rPr>
        <w:t xml:space="preserve"> que compõem uma RIS influencia diretamente na taxa de dados experimentada pelo usuário. Os parâmetros de simulação considerados são apresentados na Tabela 1, onde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BS</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BS</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RIS</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RIS</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w:r>
        <w:rPr>
          <w:rFonts w:ascii="Times New Roman" w:eastAsiaTheme="minorEastAsia" w:hAnsi="Times New Roman" w:cs="Times New Roman"/>
          <w:lang w:val="pt-BR"/>
        </w:rPr>
        <w:t>e</w:t>
      </w:r>
      <w:r w:rsidRPr="00807DED">
        <w:rPr>
          <w:rFonts w:ascii="Times New Roman" w:eastAsiaTheme="minorEastAsia" w:hAnsi="Times New Roman" w:cs="Times New Roman"/>
          <w:lang w:val="pt-BR"/>
        </w:rPr>
        <w:t xml:space="preserv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U</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U</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w:r w:rsidRPr="00807DED">
        <w:rPr>
          <w:rFonts w:ascii="Times New Roman" w:hAnsi="Times New Roman" w:cs="Times New Roman"/>
          <w:lang w:val="pt-BR"/>
        </w:rPr>
        <w:t>representam as posições da BS, da RIS e do usuário, respectivamente. Os expoentes de perda de trajetória para os três modelos de canal</w:t>
      </w:r>
      <w:r>
        <w:rPr>
          <w:rFonts w:ascii="Times New Roman" w:hAnsi="Times New Roman" w:cs="Times New Roman"/>
          <w:lang w:val="pt-BR"/>
        </w:rPr>
        <w:t xml:space="preserve"> (</w:t>
      </w:r>
      <w:r w:rsidRPr="00807DED">
        <w:rPr>
          <w:rFonts w:ascii="Times New Roman" w:hAnsi="Times New Roman" w:cs="Times New Roman"/>
          <w:lang w:val="pt-BR"/>
        </w:rPr>
        <w:t>espaço livre (</w:t>
      </w:r>
      <w:proofErr w:type="spellStart"/>
      <w:r w:rsidRPr="00807DED">
        <w:rPr>
          <w:rFonts w:ascii="Times New Roman" w:hAnsi="Times New Roman" w:cs="Times New Roman"/>
          <w:lang w:val="pt-BR"/>
        </w:rPr>
        <w:t>LoS</w:t>
      </w:r>
      <w:proofErr w:type="spellEnd"/>
      <w:r w:rsidRPr="00807DED">
        <w:rPr>
          <w:rFonts w:ascii="Times New Roman" w:hAnsi="Times New Roman" w:cs="Times New Roman"/>
          <w:lang w:val="pt-BR"/>
        </w:rPr>
        <w:t xml:space="preserve">), desvanecimento </w:t>
      </w:r>
      <w:proofErr w:type="spellStart"/>
      <w:r w:rsidRPr="00807DED">
        <w:rPr>
          <w:rFonts w:ascii="Times New Roman" w:hAnsi="Times New Roman" w:cs="Times New Roman"/>
          <w:lang w:val="pt-BR"/>
        </w:rPr>
        <w:t>Rician</w:t>
      </w:r>
      <w:proofErr w:type="spellEnd"/>
      <w:r w:rsidRPr="00807DED">
        <w:rPr>
          <w:rFonts w:ascii="Times New Roman" w:hAnsi="Times New Roman" w:cs="Times New Roman"/>
          <w:lang w:val="pt-BR"/>
        </w:rPr>
        <w:t xml:space="preserve"> e desvanecimento Rayleigh</w:t>
      </w:r>
      <w:r>
        <w:rPr>
          <w:rFonts w:ascii="Times New Roman" w:hAnsi="Times New Roman" w:cs="Times New Roman"/>
          <w:lang w:val="pt-BR"/>
        </w:rPr>
        <w:t>)</w:t>
      </w:r>
      <w:r w:rsidRPr="00807DED">
        <w:rPr>
          <w:rFonts w:ascii="Times New Roman" w:hAnsi="Times New Roman" w:cs="Times New Roman"/>
          <w:lang w:val="pt-BR"/>
        </w:rPr>
        <w:t xml:space="preserve"> são denotados por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1</m:t>
            </m:r>
          </m:sub>
        </m:sSub>
      </m:oMath>
      <w:r w:rsidRPr="00807DED">
        <w:rPr>
          <w:rFonts w:ascii="Times New Roman" w:eastAsiaTheme="minorEastAsia" w:hAnsi="Times New Roman" w:cs="Times New Roman"/>
          <w:lang w:val="pt-BR"/>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2</m:t>
            </m:r>
          </m:sub>
        </m:sSub>
      </m:oMath>
      <w:r w:rsidRPr="00807DED">
        <w:rPr>
          <w:rFonts w:ascii="Times New Roman" w:eastAsiaTheme="minorEastAsia" w:hAnsi="Times New Roman" w:cs="Times New Roman"/>
          <w:lang w:val="pt-BR"/>
        </w:rPr>
        <w:t xml:space="preserve"> e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3</m:t>
            </m:r>
          </m:sub>
        </m:sSub>
      </m:oMath>
      <w:r w:rsidRPr="00807DED">
        <w:rPr>
          <w:rFonts w:ascii="Times New Roman" w:hAnsi="Times New Roman" w:cs="Times New Roman"/>
          <w:lang w:val="pt-BR"/>
        </w:rPr>
        <w:t xml:space="preserve">​. Para o caso de desvanecimento </w:t>
      </w:r>
      <w:proofErr w:type="spellStart"/>
      <w:r w:rsidRPr="00807DED">
        <w:rPr>
          <w:rFonts w:ascii="Times New Roman" w:hAnsi="Times New Roman" w:cs="Times New Roman"/>
          <w:lang w:val="pt-BR"/>
        </w:rPr>
        <w:t>Rician</w:t>
      </w:r>
      <w:proofErr w:type="spellEnd"/>
      <w:r w:rsidRPr="00807DED">
        <w:rPr>
          <w:rFonts w:ascii="Times New Roman" w:hAnsi="Times New Roman" w:cs="Times New Roman"/>
          <w:lang w:val="pt-BR"/>
        </w:rPr>
        <w:t xml:space="preserve">, </w:t>
      </w:r>
      <w:r w:rsidRPr="00807DED">
        <w:rPr>
          <w:rFonts w:ascii="Times New Roman" w:hAnsi="Times New Roman" w:cs="Times New Roman"/>
          <w:i/>
          <w:iCs/>
          <w:lang w:val="pt-BR"/>
        </w:rPr>
        <w:t>K</w:t>
      </w:r>
      <w:r w:rsidRPr="00807DED">
        <w:rPr>
          <w:rFonts w:ascii="Times New Roman" w:hAnsi="Times New Roman" w:cs="Times New Roman"/>
          <w:lang w:val="pt-BR"/>
        </w:rPr>
        <w:t xml:space="preserve"> denota a razão entre a potência das componentes </w:t>
      </w:r>
      <w:proofErr w:type="spellStart"/>
      <w:r w:rsidRPr="00807DED">
        <w:rPr>
          <w:rFonts w:ascii="Times New Roman" w:hAnsi="Times New Roman" w:cs="Times New Roman"/>
          <w:lang w:val="pt-BR"/>
        </w:rPr>
        <w:t>LoS</w:t>
      </w:r>
      <w:proofErr w:type="spellEnd"/>
      <w:r w:rsidRPr="00807DED">
        <w:rPr>
          <w:rFonts w:ascii="Times New Roman" w:hAnsi="Times New Roman" w:cs="Times New Roman"/>
          <w:lang w:val="pt-BR"/>
        </w:rPr>
        <w:t xml:space="preserve"> e </w:t>
      </w:r>
      <w:r>
        <w:rPr>
          <w:rFonts w:ascii="Times New Roman" w:hAnsi="Times New Roman" w:cs="Times New Roman"/>
          <w:lang w:val="pt-BR"/>
        </w:rPr>
        <w:t xml:space="preserve">não </w:t>
      </w:r>
      <w:proofErr w:type="spellStart"/>
      <w:r w:rsidRPr="00807DED">
        <w:rPr>
          <w:rFonts w:ascii="Times New Roman" w:hAnsi="Times New Roman" w:cs="Times New Roman"/>
          <w:lang w:val="pt-BR"/>
        </w:rPr>
        <w:t>LoS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NLoS</w:t>
      </w:r>
      <w:proofErr w:type="spellEnd"/>
      <w:r>
        <w:rPr>
          <w:rFonts w:ascii="Times New Roman" w:hAnsi="Times New Roman" w:cs="Times New Roman"/>
          <w:lang w:val="pt-BR"/>
        </w:rPr>
        <w:t>)</w:t>
      </w:r>
      <w:r w:rsidRPr="00807DED">
        <w:rPr>
          <w:rFonts w:ascii="Times New Roman" w:hAnsi="Times New Roman" w:cs="Times New Roman"/>
          <w:lang w:val="pt-BR"/>
        </w:rPr>
        <w:t>.</w:t>
      </w:r>
    </w:p>
    <w:p w14:paraId="3A5109AA" w14:textId="418C77F2" w:rsidR="00807DED" w:rsidRPr="00807DED" w:rsidRDefault="00807DED" w:rsidP="00807DED">
      <w:pPr>
        <w:pStyle w:val="Descripcin"/>
        <w:keepNext/>
        <w:jc w:val="center"/>
        <w:rPr>
          <w:color w:val="auto"/>
        </w:rPr>
      </w:pPr>
      <w:proofErr w:type="spellStart"/>
      <w:r w:rsidRPr="00807DED">
        <w:rPr>
          <w:color w:val="auto"/>
        </w:rPr>
        <w:t>Tabela</w:t>
      </w:r>
      <w:proofErr w:type="spellEnd"/>
      <w:r w:rsidRPr="00807DED">
        <w:rPr>
          <w:color w:val="auto"/>
        </w:rPr>
        <w:t xml:space="preserve"> </w:t>
      </w:r>
      <w:r w:rsidRPr="00807DED">
        <w:rPr>
          <w:color w:val="auto"/>
        </w:rPr>
        <w:fldChar w:fldCharType="begin"/>
      </w:r>
      <w:r w:rsidRPr="00807DED">
        <w:rPr>
          <w:color w:val="auto"/>
        </w:rPr>
        <w:instrText xml:space="preserve"> SEQ Tabela \* ARABIC </w:instrText>
      </w:r>
      <w:r w:rsidRPr="00807DED">
        <w:rPr>
          <w:color w:val="auto"/>
        </w:rPr>
        <w:fldChar w:fldCharType="separate"/>
      </w:r>
      <w:r w:rsidR="002A634F">
        <w:rPr>
          <w:noProof/>
          <w:color w:val="auto"/>
        </w:rPr>
        <w:t>1</w:t>
      </w:r>
      <w:r w:rsidRPr="00807DED">
        <w:rPr>
          <w:color w:val="auto"/>
        </w:rPr>
        <w:fldChar w:fldCharType="end"/>
      </w:r>
      <w:r w:rsidRPr="00807DED">
        <w:rPr>
          <w:color w:val="auto"/>
        </w:rPr>
        <w:t xml:space="preserve">: </w:t>
      </w:r>
      <w:proofErr w:type="spellStart"/>
      <w:r w:rsidRPr="00807DED">
        <w:rPr>
          <w:color w:val="auto"/>
        </w:rPr>
        <w:t>Parâmetros</w:t>
      </w:r>
      <w:proofErr w:type="spellEnd"/>
      <w:r w:rsidRPr="00807DED">
        <w:rPr>
          <w:color w:val="auto"/>
        </w:rPr>
        <w:t xml:space="preserve"> de </w:t>
      </w:r>
      <w:proofErr w:type="spellStart"/>
      <w:r w:rsidRPr="00807DED">
        <w:rPr>
          <w:color w:val="auto"/>
        </w:rPr>
        <w:t>Simulação</w:t>
      </w:r>
      <w:proofErr w:type="spellEnd"/>
    </w:p>
    <w:tbl>
      <w:tblPr>
        <w:tblStyle w:val="Tablaconcuadrcula"/>
        <w:tblW w:w="0" w:type="auto"/>
        <w:jc w:val="center"/>
        <w:tblLook w:val="04A0" w:firstRow="1" w:lastRow="0" w:firstColumn="1" w:lastColumn="0" w:noHBand="0" w:noVBand="1"/>
      </w:tblPr>
      <w:tblGrid>
        <w:gridCol w:w="1440"/>
        <w:gridCol w:w="1260"/>
      </w:tblGrid>
      <w:tr w:rsidR="00807DED" w:rsidRPr="0065294D" w14:paraId="62F419CE" w14:textId="77777777" w:rsidTr="00807DED">
        <w:trPr>
          <w:jc w:val="center"/>
        </w:trPr>
        <w:tc>
          <w:tcPr>
            <w:tcW w:w="1440" w:type="dxa"/>
          </w:tcPr>
          <w:p w14:paraId="1FFF8545" w14:textId="162DCFB4" w:rsidR="00807DED" w:rsidRPr="0065294D" w:rsidRDefault="00807DED" w:rsidP="0084486B">
            <w:pPr>
              <w:jc w:val="both"/>
              <w:rPr>
                <w:rFonts w:ascii="Times New Roman" w:eastAsiaTheme="minorEastAsia" w:hAnsi="Times New Roman" w:cs="Times New Roman"/>
                <w:i/>
              </w:rPr>
            </w:pPr>
            <w:proofErr w:type="spellStart"/>
            <w:r w:rsidRPr="00807DED">
              <w:rPr>
                <w:rFonts w:ascii="Times New Roman" w:eastAsiaTheme="minorEastAsia" w:hAnsi="Times New Roman" w:cs="Times New Roman"/>
                <w:i/>
              </w:rPr>
              <w:t>Parâmetros</w:t>
            </w:r>
            <w:proofErr w:type="spellEnd"/>
          </w:p>
        </w:tc>
        <w:tc>
          <w:tcPr>
            <w:tcW w:w="1260" w:type="dxa"/>
          </w:tcPr>
          <w:p w14:paraId="28A87DF0" w14:textId="77777777" w:rsidR="00807DED" w:rsidRPr="0065294D" w:rsidRDefault="00807DED" w:rsidP="0084486B">
            <w:pPr>
              <w:jc w:val="center"/>
              <w:rPr>
                <w:rFonts w:ascii="Times New Roman" w:eastAsiaTheme="minorEastAsia" w:hAnsi="Times New Roman" w:cs="Times New Roman"/>
                <w:i/>
              </w:rPr>
            </w:pPr>
            <w:r w:rsidRPr="0065294D">
              <w:rPr>
                <w:rFonts w:ascii="Times New Roman" w:eastAsiaTheme="minorEastAsia" w:hAnsi="Times New Roman" w:cs="Times New Roman"/>
                <w:i/>
              </w:rPr>
              <w:t>Valor</w:t>
            </w:r>
          </w:p>
        </w:tc>
      </w:tr>
      <w:tr w:rsidR="00807DED" w:rsidRPr="0065294D" w14:paraId="2FDE1E8C" w14:textId="77777777" w:rsidTr="00807DED">
        <w:trPr>
          <w:jc w:val="center"/>
        </w:trPr>
        <w:tc>
          <w:tcPr>
            <w:tcW w:w="1440" w:type="dxa"/>
          </w:tcPr>
          <w:p w14:paraId="498EE7D3" w14:textId="77777777" w:rsidR="00807DED" w:rsidRPr="0065294D" w:rsidRDefault="00807DED" w:rsidP="0084486B">
            <w:pPr>
              <w:jc w:val="both"/>
              <w:rPr>
                <w:rFonts w:ascii="Times New Roman" w:eastAsiaTheme="minorEastAsia"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BS</m:t>
                    </m:r>
                  </m:sub>
                </m:sSub>
                <m:r>
                  <w:rPr>
                    <w:rFonts w:ascii="Cambria Math" w:eastAsiaTheme="minorEastAsia" w:hAnsi="Cambria Math" w:cs="Times New Roman"/>
                  </w:rPr>
                  <m:t>)</m:t>
                </m:r>
              </m:oMath>
            </m:oMathPara>
          </w:p>
        </w:tc>
        <w:tc>
          <w:tcPr>
            <w:tcW w:w="1260" w:type="dxa"/>
          </w:tcPr>
          <w:p w14:paraId="0A606A63" w14:textId="77777777" w:rsidR="00807DED" w:rsidRPr="0065294D" w:rsidRDefault="00807DED" w:rsidP="0084486B">
            <w:pPr>
              <w:jc w:val="center"/>
              <w:rPr>
                <w:rFonts w:ascii="Times New Roman" w:eastAsiaTheme="minorEastAsia" w:hAnsi="Times New Roman" w:cs="Times New Roman"/>
                <w:iCs/>
              </w:rPr>
            </w:pPr>
            <m:oMath>
              <m:r>
                <m:rPr>
                  <m:sty m:val="p"/>
                </m:rPr>
                <w:rPr>
                  <w:rFonts w:ascii="Cambria Math" w:eastAsiaTheme="minorEastAsia" w:hAnsi="Cambria Math" w:cs="Times New Roman"/>
                </w:rPr>
                <m:t>(0, 0)</m:t>
              </m:r>
            </m:oMath>
            <w:r w:rsidRPr="0065294D">
              <w:rPr>
                <w:rFonts w:ascii="Times New Roman" w:eastAsiaTheme="minorEastAsia" w:hAnsi="Times New Roman" w:cs="Times New Roman"/>
                <w:iCs/>
              </w:rPr>
              <w:t xml:space="preserve"> m</w:t>
            </w:r>
          </w:p>
        </w:tc>
      </w:tr>
      <w:tr w:rsidR="00807DED" w:rsidRPr="0065294D" w14:paraId="419AA083" w14:textId="77777777" w:rsidTr="00807DED">
        <w:trPr>
          <w:jc w:val="center"/>
        </w:trPr>
        <w:tc>
          <w:tcPr>
            <w:tcW w:w="1440" w:type="dxa"/>
          </w:tcPr>
          <w:p w14:paraId="7746BEBE" w14:textId="77777777" w:rsidR="00807DED" w:rsidRPr="0065294D" w:rsidRDefault="00807DED" w:rsidP="0084486B">
            <w:pPr>
              <w:jc w:val="both"/>
              <w:rPr>
                <w:rFonts w:ascii="Times New Roman" w:eastAsiaTheme="minorEastAsia"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RIS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RIS</m:t>
                    </m:r>
                  </m:sub>
                </m:sSub>
                <m:r>
                  <w:rPr>
                    <w:rFonts w:ascii="Cambria Math" w:eastAsiaTheme="minorEastAsia" w:hAnsi="Cambria Math" w:cs="Times New Roman"/>
                  </w:rPr>
                  <m:t>)</m:t>
                </m:r>
              </m:oMath>
            </m:oMathPara>
          </w:p>
        </w:tc>
        <w:tc>
          <w:tcPr>
            <w:tcW w:w="1260" w:type="dxa"/>
          </w:tcPr>
          <w:p w14:paraId="70106FB7" w14:textId="77777777" w:rsidR="00807DED" w:rsidRPr="0065294D" w:rsidRDefault="00807DED" w:rsidP="0084486B">
            <w:pPr>
              <w:jc w:val="center"/>
              <w:rPr>
                <w:rFonts w:ascii="Times New Roman" w:eastAsiaTheme="minorEastAsia" w:hAnsi="Times New Roman" w:cs="Times New Roman"/>
                <w:iCs/>
              </w:rPr>
            </w:pPr>
            <m:oMath>
              <m:r>
                <m:rPr>
                  <m:sty m:val="p"/>
                </m:rPr>
                <w:rPr>
                  <w:rFonts w:ascii="Cambria Math" w:eastAsiaTheme="minorEastAsia" w:hAnsi="Cambria Math" w:cs="Times New Roman"/>
                </w:rPr>
                <m:t>(0, 50)</m:t>
              </m:r>
            </m:oMath>
            <w:r w:rsidRPr="0065294D">
              <w:rPr>
                <w:rFonts w:ascii="Times New Roman" w:eastAsiaTheme="minorEastAsia" w:hAnsi="Times New Roman" w:cs="Times New Roman"/>
                <w:iCs/>
              </w:rPr>
              <w:t xml:space="preserve"> m</w:t>
            </w:r>
          </w:p>
        </w:tc>
      </w:tr>
      <w:tr w:rsidR="00807DED" w:rsidRPr="0065294D" w14:paraId="4774C78F" w14:textId="77777777" w:rsidTr="00807DED">
        <w:trPr>
          <w:jc w:val="center"/>
        </w:trPr>
        <w:tc>
          <w:tcPr>
            <w:tcW w:w="1440" w:type="dxa"/>
          </w:tcPr>
          <w:p w14:paraId="640CA41E" w14:textId="77777777" w:rsidR="00807DED" w:rsidRPr="0065294D" w:rsidRDefault="00807DED" w:rsidP="0084486B">
            <w:pPr>
              <w:jc w:val="both"/>
              <w:rPr>
                <w:rFonts w:ascii="Times New Roman" w:eastAsia="Times New Roman"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U</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U</m:t>
                    </m:r>
                  </m:sub>
                </m:sSub>
                <m:r>
                  <w:rPr>
                    <w:rFonts w:ascii="Cambria Math" w:eastAsiaTheme="minorEastAsia" w:hAnsi="Cambria Math" w:cs="Times New Roman"/>
                  </w:rPr>
                  <m:t>)</m:t>
                </m:r>
              </m:oMath>
            </m:oMathPara>
          </w:p>
        </w:tc>
        <w:tc>
          <w:tcPr>
            <w:tcW w:w="1260" w:type="dxa"/>
          </w:tcPr>
          <w:p w14:paraId="54010DA1" w14:textId="77777777" w:rsidR="00807DED" w:rsidRPr="0065294D" w:rsidRDefault="00807DED" w:rsidP="0084486B">
            <w:pPr>
              <w:jc w:val="center"/>
              <w:rPr>
                <w:rFonts w:ascii="Times New Roman" w:eastAsia="Times New Roman" w:hAnsi="Times New Roman" w:cs="Times New Roman"/>
                <w:iCs/>
              </w:rPr>
            </w:pPr>
            <m:oMath>
              <m:r>
                <m:rPr>
                  <m:sty m:val="p"/>
                </m:rPr>
                <w:rPr>
                  <w:rFonts w:ascii="Cambria Math" w:eastAsiaTheme="minorEastAsia" w:hAnsi="Cambria Math" w:cs="Times New Roman"/>
                </w:rPr>
                <m:t>(50, 5)</m:t>
              </m:r>
            </m:oMath>
            <w:r w:rsidRPr="0065294D">
              <w:rPr>
                <w:rFonts w:ascii="Times New Roman" w:eastAsia="Times New Roman" w:hAnsi="Times New Roman" w:cs="Times New Roman"/>
                <w:iCs/>
              </w:rPr>
              <w:t xml:space="preserve"> m</w:t>
            </w:r>
          </w:p>
        </w:tc>
      </w:tr>
      <w:tr w:rsidR="00807DED" w:rsidRPr="0065294D" w14:paraId="2046F2FD" w14:textId="77777777" w:rsidTr="00807DED">
        <w:trPr>
          <w:jc w:val="center"/>
        </w:trPr>
        <w:tc>
          <w:tcPr>
            <w:tcW w:w="1440" w:type="dxa"/>
          </w:tcPr>
          <w:p w14:paraId="66188C44" w14:textId="77777777" w:rsidR="00807DED" w:rsidRPr="0065294D" w:rsidRDefault="00000000" w:rsidP="0084486B">
            <w:pPr>
              <w:jc w:val="both"/>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oMath>
            </m:oMathPara>
          </w:p>
        </w:tc>
        <w:tc>
          <w:tcPr>
            <w:tcW w:w="1260" w:type="dxa"/>
          </w:tcPr>
          <w:p w14:paraId="56CA0C4E" w14:textId="77777777" w:rsidR="00807DED" w:rsidRPr="0065294D" w:rsidRDefault="00807DED" w:rsidP="0084486B">
            <w:pPr>
              <w:jc w:val="center"/>
              <w:rPr>
                <w:rFonts w:ascii="Times New Roman" w:eastAsiaTheme="minorEastAsia" w:hAnsi="Times New Roman" w:cs="Times New Roman"/>
                <w:iCs/>
              </w:rPr>
            </w:pPr>
            <w:r>
              <w:rPr>
                <w:rFonts w:ascii="Times New Roman" w:eastAsiaTheme="minorEastAsia" w:hAnsi="Times New Roman" w:cs="Times New Roman"/>
                <w:iCs/>
              </w:rPr>
              <w:t xml:space="preserve">50 </w:t>
            </w:r>
            <w:proofErr w:type="spellStart"/>
            <w:r>
              <w:rPr>
                <w:rFonts w:ascii="Times New Roman" w:eastAsiaTheme="minorEastAsia" w:hAnsi="Times New Roman" w:cs="Times New Roman"/>
                <w:iCs/>
              </w:rPr>
              <w:t>mW</w:t>
            </w:r>
            <w:proofErr w:type="spellEnd"/>
          </w:p>
        </w:tc>
      </w:tr>
      <w:tr w:rsidR="00807DED" w:rsidRPr="0065294D" w14:paraId="62737526" w14:textId="77777777" w:rsidTr="00807DED">
        <w:trPr>
          <w:jc w:val="center"/>
        </w:trPr>
        <w:tc>
          <w:tcPr>
            <w:tcW w:w="1440" w:type="dxa"/>
          </w:tcPr>
          <w:p w14:paraId="5CE4A7E7" w14:textId="77777777" w:rsidR="00807DED" w:rsidRPr="0065294D" w:rsidRDefault="00000000" w:rsidP="0084486B">
            <w:pPr>
              <w:jc w:val="both"/>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o</m:t>
                    </m:r>
                  </m:sub>
                </m:sSub>
              </m:oMath>
            </m:oMathPara>
          </w:p>
        </w:tc>
        <w:tc>
          <w:tcPr>
            <w:tcW w:w="1260" w:type="dxa"/>
          </w:tcPr>
          <w:p w14:paraId="4B0A3A82" w14:textId="77777777" w:rsidR="00807DED" w:rsidRPr="0065294D" w:rsidRDefault="00807DED" w:rsidP="0084486B">
            <w:pPr>
              <w:jc w:val="center"/>
              <w:rPr>
                <w:rFonts w:ascii="Times New Roman" w:eastAsiaTheme="minorEastAsia" w:hAnsi="Times New Roman" w:cs="Times New Roman"/>
                <w:i/>
              </w:rPr>
            </w:pPr>
            <w:r>
              <w:rPr>
                <w:rFonts w:ascii="Times New Roman" w:eastAsiaTheme="minorEastAsia" w:hAnsi="Times New Roman" w:cs="Times New Roman"/>
                <w:iCs/>
              </w:rPr>
              <w:t>-30 dB</w:t>
            </w:r>
          </w:p>
        </w:tc>
      </w:tr>
      <w:tr w:rsidR="00807DED" w:rsidRPr="0065294D" w14:paraId="16016D0F" w14:textId="77777777" w:rsidTr="00807DED">
        <w:trPr>
          <w:jc w:val="center"/>
        </w:trPr>
        <w:tc>
          <w:tcPr>
            <w:tcW w:w="1440" w:type="dxa"/>
          </w:tcPr>
          <w:p w14:paraId="0262308A" w14:textId="77777777" w:rsidR="00807DED" w:rsidRPr="0065294D" w:rsidRDefault="00000000" w:rsidP="0084486B">
            <w:pPr>
              <w:jc w:val="both"/>
              <w:rPr>
                <w:rFonts w:ascii="Times New Roman" w:eastAsiaTheme="minorEastAsia" w:hAnsi="Times New Roman" w:cs="Times New Roman"/>
                <w:i/>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m:oMathPara>
          </w:p>
        </w:tc>
        <w:tc>
          <w:tcPr>
            <w:tcW w:w="1260" w:type="dxa"/>
          </w:tcPr>
          <w:p w14:paraId="0BECC9AB" w14:textId="77777777" w:rsidR="00807DED" w:rsidRPr="0065294D" w:rsidRDefault="00807DED" w:rsidP="0084486B">
            <w:pPr>
              <w:jc w:val="center"/>
              <w:rPr>
                <w:rFonts w:ascii="Times New Roman" w:eastAsiaTheme="minorEastAsia" w:hAnsi="Times New Roman" w:cs="Times New Roman"/>
                <w:i/>
              </w:rPr>
            </w:pPr>
            <w:r>
              <w:rPr>
                <w:rFonts w:ascii="Times New Roman" w:eastAsiaTheme="minorEastAsia" w:hAnsi="Times New Roman" w:cs="Times New Roman"/>
                <w:iCs/>
              </w:rPr>
              <w:t>-90 dBm</w:t>
            </w:r>
          </w:p>
        </w:tc>
      </w:tr>
      <w:tr w:rsidR="00807DED" w:rsidRPr="0065294D" w14:paraId="38909117" w14:textId="77777777" w:rsidTr="00807DED">
        <w:trPr>
          <w:jc w:val="center"/>
        </w:trPr>
        <w:tc>
          <w:tcPr>
            <w:tcW w:w="1440" w:type="dxa"/>
          </w:tcPr>
          <w:p w14:paraId="4FC18AF1" w14:textId="77777777" w:rsidR="00807DED" w:rsidRPr="0065294D" w:rsidRDefault="00000000" w:rsidP="0084486B">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1</m:t>
                    </m:r>
                  </m:sub>
                </m:sSub>
              </m:oMath>
            </m:oMathPara>
          </w:p>
        </w:tc>
        <w:tc>
          <w:tcPr>
            <w:tcW w:w="1260" w:type="dxa"/>
          </w:tcPr>
          <w:p w14:paraId="4EFC1A7A" w14:textId="77777777" w:rsidR="00807DED" w:rsidRPr="0065294D" w:rsidRDefault="00807DED" w:rsidP="0084486B">
            <w:pPr>
              <w:jc w:val="center"/>
              <w:rPr>
                <w:rFonts w:ascii="Times New Roman" w:eastAsiaTheme="minorEastAsia" w:hAnsi="Times New Roman" w:cs="Times New Roman"/>
                <w:iCs/>
              </w:rPr>
            </w:pPr>
            <w:r w:rsidRPr="0065294D">
              <w:rPr>
                <w:rFonts w:ascii="Times New Roman" w:eastAsiaTheme="minorEastAsia" w:hAnsi="Times New Roman" w:cs="Times New Roman"/>
                <w:iCs/>
              </w:rPr>
              <w:t>2.4</w:t>
            </w:r>
          </w:p>
        </w:tc>
      </w:tr>
      <w:tr w:rsidR="00807DED" w:rsidRPr="0065294D" w14:paraId="67525016" w14:textId="77777777" w:rsidTr="00807DED">
        <w:trPr>
          <w:jc w:val="center"/>
        </w:trPr>
        <w:tc>
          <w:tcPr>
            <w:tcW w:w="1440" w:type="dxa"/>
          </w:tcPr>
          <w:p w14:paraId="1D1ADFDF" w14:textId="77777777" w:rsidR="00807DED" w:rsidRPr="0065294D" w:rsidRDefault="00000000" w:rsidP="0084486B">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2</m:t>
                    </m:r>
                  </m:sub>
                </m:sSub>
              </m:oMath>
            </m:oMathPara>
          </w:p>
        </w:tc>
        <w:tc>
          <w:tcPr>
            <w:tcW w:w="1260" w:type="dxa"/>
          </w:tcPr>
          <w:p w14:paraId="2B0B308D" w14:textId="77777777" w:rsidR="00807DED" w:rsidRPr="0065294D" w:rsidRDefault="00807DED" w:rsidP="0084486B">
            <w:pPr>
              <w:jc w:val="center"/>
              <w:rPr>
                <w:rFonts w:ascii="Times New Roman" w:eastAsiaTheme="minorEastAsia" w:hAnsi="Times New Roman" w:cs="Times New Roman"/>
                <w:iCs/>
              </w:rPr>
            </w:pPr>
            <w:r w:rsidRPr="0065294D">
              <w:rPr>
                <w:rFonts w:ascii="Times New Roman" w:eastAsiaTheme="minorEastAsia" w:hAnsi="Times New Roman" w:cs="Times New Roman"/>
                <w:iCs/>
              </w:rPr>
              <w:t>2</w:t>
            </w:r>
          </w:p>
        </w:tc>
      </w:tr>
      <w:tr w:rsidR="00807DED" w:rsidRPr="0065294D" w14:paraId="194D09EB" w14:textId="77777777" w:rsidTr="00807DED">
        <w:trPr>
          <w:jc w:val="center"/>
        </w:trPr>
        <w:tc>
          <w:tcPr>
            <w:tcW w:w="1440" w:type="dxa"/>
          </w:tcPr>
          <w:p w14:paraId="5BD7450A" w14:textId="77777777" w:rsidR="00807DED" w:rsidRPr="0065294D" w:rsidRDefault="00000000" w:rsidP="0084486B">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3</m:t>
                    </m:r>
                  </m:sub>
                </m:sSub>
              </m:oMath>
            </m:oMathPara>
          </w:p>
        </w:tc>
        <w:tc>
          <w:tcPr>
            <w:tcW w:w="1260" w:type="dxa"/>
          </w:tcPr>
          <w:p w14:paraId="6C8083CC" w14:textId="77777777" w:rsidR="00807DED" w:rsidRPr="0065294D" w:rsidRDefault="00807DED" w:rsidP="0084486B">
            <w:pPr>
              <w:jc w:val="center"/>
              <w:rPr>
                <w:rFonts w:ascii="Times New Roman" w:eastAsiaTheme="minorEastAsia" w:hAnsi="Times New Roman" w:cs="Times New Roman"/>
                <w:iCs/>
              </w:rPr>
            </w:pPr>
            <w:r w:rsidRPr="0065294D">
              <w:rPr>
                <w:rFonts w:ascii="Times New Roman" w:eastAsiaTheme="minorEastAsia" w:hAnsi="Times New Roman" w:cs="Times New Roman"/>
                <w:iCs/>
              </w:rPr>
              <w:t>2.8</w:t>
            </w:r>
          </w:p>
        </w:tc>
      </w:tr>
      <w:tr w:rsidR="00807DED" w:rsidRPr="0065294D" w14:paraId="03FE4535" w14:textId="77777777" w:rsidTr="00807DED">
        <w:trPr>
          <w:jc w:val="center"/>
        </w:trPr>
        <w:tc>
          <w:tcPr>
            <w:tcW w:w="1440" w:type="dxa"/>
          </w:tcPr>
          <w:p w14:paraId="3B8249EC" w14:textId="77777777" w:rsidR="00807DED" w:rsidRPr="0065294D" w:rsidRDefault="00807DED" w:rsidP="0084486B">
            <w:pPr>
              <w:jc w:val="both"/>
              <w:rPr>
                <w:rFonts w:ascii="Times New Roman" w:eastAsia="Times New Roman" w:hAnsi="Times New Roman" w:cs="Times New Roman"/>
                <w:i/>
              </w:rPr>
            </w:pPr>
            <m:oMathPara>
              <m:oMath>
                <m:r>
                  <w:rPr>
                    <w:rFonts w:ascii="Cambria Math" w:eastAsia="Times New Roman" w:hAnsi="Cambria Math" w:cs="Times New Roman"/>
                  </w:rPr>
                  <m:t>K</m:t>
                </m:r>
              </m:oMath>
            </m:oMathPara>
          </w:p>
        </w:tc>
        <w:tc>
          <w:tcPr>
            <w:tcW w:w="1260" w:type="dxa"/>
          </w:tcPr>
          <w:p w14:paraId="105ABC80" w14:textId="77777777" w:rsidR="00807DED" w:rsidRPr="0065294D" w:rsidRDefault="00807DED" w:rsidP="0084486B">
            <w:pPr>
              <w:jc w:val="center"/>
              <w:rPr>
                <w:rFonts w:ascii="Times New Roman" w:eastAsiaTheme="minorEastAsia" w:hAnsi="Times New Roman" w:cs="Times New Roman"/>
                <w:iCs/>
              </w:rPr>
            </w:pPr>
            <w:r w:rsidRPr="0065294D">
              <w:rPr>
                <w:rFonts w:ascii="Times New Roman" w:eastAsiaTheme="minorEastAsia" w:hAnsi="Times New Roman" w:cs="Times New Roman"/>
                <w:iCs/>
              </w:rPr>
              <w:t>3</w:t>
            </w:r>
          </w:p>
        </w:tc>
      </w:tr>
    </w:tbl>
    <w:p w14:paraId="70DEAE41" w14:textId="77777777" w:rsidR="00AB68E7" w:rsidRDefault="00AB68E7" w:rsidP="00807DED">
      <w:pPr>
        <w:jc w:val="both"/>
        <w:rPr>
          <w:rFonts w:ascii="Times New Roman" w:hAnsi="Times New Roman" w:cs="Times New Roman"/>
          <w:lang w:val="pt-BR"/>
        </w:rPr>
      </w:pPr>
    </w:p>
    <w:p w14:paraId="6ADCDF75" w14:textId="4F043E81" w:rsidR="00807DED" w:rsidRDefault="00807DED" w:rsidP="00807DED">
      <w:pPr>
        <w:jc w:val="both"/>
        <w:rPr>
          <w:rFonts w:ascii="Times New Roman" w:hAnsi="Times New Roman" w:cs="Times New Roman"/>
          <w:lang w:val="pt-BR"/>
        </w:rPr>
      </w:pPr>
      <w:r w:rsidRPr="00807DED">
        <w:rPr>
          <w:rFonts w:ascii="Times New Roman" w:hAnsi="Times New Roman" w:cs="Times New Roman"/>
          <w:lang w:val="pt-BR"/>
        </w:rPr>
        <w:t>O algoritmo proposto calcula a taxa de dados experimentada pelo usuário, variando o número de elementos refletivos que compõem a RIS de 25 até 500. É utilizado o método de Monte Carlo para simular múltiplas realizações aleatórias do canal sem fio e estimar o valor médio da taxa de dados alcançável sob diferentes condições de propagação.</w:t>
      </w:r>
      <w:r>
        <w:rPr>
          <w:rFonts w:ascii="Times New Roman" w:hAnsi="Times New Roman" w:cs="Times New Roman"/>
          <w:lang w:val="pt-BR"/>
        </w:rPr>
        <w:t xml:space="preserve"> </w:t>
      </w:r>
      <w:r w:rsidRPr="00807DED">
        <w:rPr>
          <w:rFonts w:ascii="Times New Roman" w:hAnsi="Times New Roman" w:cs="Times New Roman"/>
          <w:lang w:val="pt-BR"/>
        </w:rPr>
        <w:t xml:space="preserve">É importante destacar também que é empregado o algoritmo de aceitação-rejeição para gerar amostras que seguem </w:t>
      </w:r>
      <w:r>
        <w:rPr>
          <w:rFonts w:ascii="Times New Roman" w:hAnsi="Times New Roman" w:cs="Times New Roman"/>
          <w:lang w:val="pt-BR"/>
        </w:rPr>
        <w:t>uma</w:t>
      </w:r>
      <w:r w:rsidRPr="00807DED">
        <w:rPr>
          <w:rFonts w:ascii="Times New Roman" w:hAnsi="Times New Roman" w:cs="Times New Roman"/>
          <w:lang w:val="pt-BR"/>
        </w:rPr>
        <w:t xml:space="preserve"> distribuição normal, considerando como função conhecida </w:t>
      </w:r>
      <m:oMath>
        <m:r>
          <w:rPr>
            <w:rFonts w:ascii="Cambria Math" w:hAnsi="Cambria Math" w:cs="Times New Roman"/>
          </w:rPr>
          <m:t>f</m:t>
        </m:r>
        <m:r>
          <w:rPr>
            <w:rFonts w:ascii="Cambria Math" w:hAnsi="Cambria Math" w:cs="Times New Roman"/>
            <w:lang w:val="pt-BR"/>
          </w:rPr>
          <m:t>(</m:t>
        </m:r>
        <m:r>
          <w:rPr>
            <w:rFonts w:ascii="Cambria Math" w:hAnsi="Cambria Math" w:cs="Times New Roman"/>
          </w:rPr>
          <m:t>t</m:t>
        </m:r>
        <m:r>
          <w:rPr>
            <w:rFonts w:ascii="Cambria Math" w:hAnsi="Cambria Math" w:cs="Times New Roman"/>
            <w:lang w:val="pt-BR"/>
          </w:rPr>
          <m:t xml:space="preserve">) = </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lang w:val="pt-BR"/>
              </w:rPr>
              <m:t>-</m:t>
            </m:r>
            <m:r>
              <w:rPr>
                <w:rFonts w:ascii="Cambria Math" w:hAnsi="Cambria Math" w:cs="Times New Roman"/>
              </w:rPr>
              <m:t>t</m:t>
            </m:r>
          </m:sup>
        </m:sSup>
      </m:oMath>
      <w:r w:rsidRPr="00807DED">
        <w:rPr>
          <w:rFonts w:ascii="Times New Roman" w:hAnsi="Times New Roman" w:cs="Times New Roman"/>
          <w:lang w:val="pt-BR"/>
        </w:rPr>
        <w:t>.</w:t>
      </w:r>
    </w:p>
    <w:p w14:paraId="2068C63C" w14:textId="77777777" w:rsidR="006F66A1" w:rsidRDefault="006F66A1" w:rsidP="006F66A1">
      <w:pPr>
        <w:keepNext/>
        <w:jc w:val="center"/>
      </w:pPr>
      <w:r>
        <w:rPr>
          <w:noProof/>
        </w:rPr>
        <w:drawing>
          <wp:inline distT="0" distB="0" distL="0" distR="0" wp14:anchorId="305CB5DA" wp14:editId="553638DE">
            <wp:extent cx="5303520" cy="1926585"/>
            <wp:effectExtent l="0" t="0" r="0" b="0"/>
            <wp:docPr id="4848984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6998" cy="1927848"/>
                    </a:xfrm>
                    <a:prstGeom prst="rect">
                      <a:avLst/>
                    </a:prstGeom>
                    <a:noFill/>
                    <a:ln>
                      <a:noFill/>
                    </a:ln>
                  </pic:spPr>
                </pic:pic>
              </a:graphicData>
            </a:graphic>
          </wp:inline>
        </w:drawing>
      </w:r>
    </w:p>
    <w:p w14:paraId="6E899D19" w14:textId="59DE891F" w:rsidR="006F66A1" w:rsidRDefault="006F66A1" w:rsidP="006F66A1">
      <w:pPr>
        <w:pStyle w:val="Descripcin"/>
        <w:jc w:val="center"/>
        <w:rPr>
          <w:color w:val="auto"/>
          <w:lang w:val="pt-BR"/>
        </w:rPr>
      </w:pPr>
      <w:r w:rsidRPr="00807DED">
        <w:rPr>
          <w:color w:val="auto"/>
          <w:lang w:val="pt-BR"/>
        </w:rPr>
        <w:t xml:space="preserve">Figura </w:t>
      </w:r>
      <w:r w:rsidRPr="00807DED">
        <w:rPr>
          <w:color w:val="auto"/>
        </w:rPr>
        <w:fldChar w:fldCharType="begin"/>
      </w:r>
      <w:r w:rsidRPr="00807DED">
        <w:rPr>
          <w:color w:val="auto"/>
          <w:lang w:val="pt-BR"/>
        </w:rPr>
        <w:instrText xml:space="preserve"> SEQ Figura \* ARABIC </w:instrText>
      </w:r>
      <w:r w:rsidRPr="00807DED">
        <w:rPr>
          <w:color w:val="auto"/>
        </w:rPr>
        <w:fldChar w:fldCharType="separate"/>
      </w:r>
      <w:r w:rsidR="002A634F">
        <w:rPr>
          <w:noProof/>
          <w:color w:val="auto"/>
          <w:lang w:val="pt-BR"/>
        </w:rPr>
        <w:t>1</w:t>
      </w:r>
      <w:r w:rsidRPr="00807DED">
        <w:rPr>
          <w:color w:val="auto"/>
        </w:rPr>
        <w:fldChar w:fldCharType="end"/>
      </w:r>
      <w:r w:rsidRPr="00807DED">
        <w:rPr>
          <w:color w:val="auto"/>
          <w:lang w:val="pt-BR"/>
        </w:rPr>
        <w:t>: Taxa de dados vs. M. a) Resultados obtidos em [</w:t>
      </w:r>
      <w:r w:rsidR="00755247">
        <w:rPr>
          <w:color w:val="auto"/>
          <w:lang w:val="pt-BR"/>
        </w:rPr>
        <w:t>3</w:t>
      </w:r>
      <w:r w:rsidRPr="00807DED">
        <w:rPr>
          <w:color w:val="auto"/>
          <w:lang w:val="pt-BR"/>
        </w:rPr>
        <w:t>]. b) Resultados obtidos neste projeto.</w:t>
      </w:r>
    </w:p>
    <w:p w14:paraId="3697824B" w14:textId="65BF695D" w:rsidR="006F66A1" w:rsidRDefault="006F66A1" w:rsidP="006F66A1">
      <w:pPr>
        <w:jc w:val="both"/>
        <w:rPr>
          <w:rFonts w:ascii="Times New Roman" w:hAnsi="Times New Roman" w:cs="Times New Roman"/>
          <w:lang w:val="pt-BR"/>
        </w:rPr>
      </w:pPr>
      <w:r w:rsidRPr="000425D0">
        <w:rPr>
          <w:rFonts w:ascii="Times New Roman" w:hAnsi="Times New Roman" w:cs="Times New Roman"/>
          <w:lang w:val="pt-BR"/>
        </w:rPr>
        <w:lastRenderedPageBreak/>
        <w:t xml:space="preserve">Como pode ser observado na Figura 1, o algoritmo implementado neste projeto permitiu replicar os resultados de taxa de dados alcançados em </w:t>
      </w:r>
      <w:r>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{"citationID":"kJXranuv","properties":{"formattedCitation":"[4]","plainCitation":"[4]","noteIndex":0},"citationItems":[{"id":138,"uris":["http://zotero.org/users/7957888/items/3BS86GPY"],"itemData":{"id":138,"type":"article-journal","abstract":"Intelligent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Pr>
          <w:rFonts w:ascii="Times New Roman" w:hAnsi="Times New Roman" w:cs="Times New Roman"/>
          <w:lang w:val="pt-BR"/>
        </w:rPr>
        <w:fldChar w:fldCharType="separate"/>
      </w:r>
      <w:r w:rsidR="00755247" w:rsidRPr="00755247">
        <w:rPr>
          <w:rFonts w:ascii="Times New Roman" w:hAnsi="Times New Roman" w:cs="Times New Roman"/>
          <w:lang w:val="pt-BR"/>
        </w:rPr>
        <w:t>[4]</w:t>
      </w:r>
      <w:r>
        <w:rPr>
          <w:rFonts w:ascii="Times New Roman" w:hAnsi="Times New Roman" w:cs="Times New Roman"/>
          <w:lang w:val="pt-BR"/>
        </w:rPr>
        <w:fldChar w:fldCharType="end"/>
      </w:r>
      <w:r w:rsidR="00755247">
        <w:rPr>
          <w:rFonts w:ascii="Times New Roman" w:hAnsi="Times New Roman" w:cs="Times New Roman"/>
          <w:lang w:val="pt-BR"/>
        </w:rPr>
        <w:t xml:space="preserve">, mostrados na </w:t>
      </w:r>
      <w:r w:rsidR="00755247" w:rsidRPr="00755247">
        <w:rPr>
          <w:rFonts w:ascii="Times New Roman" w:hAnsi="Times New Roman" w:cs="Times New Roman"/>
          <w:lang w:val="pt-BR"/>
        </w:rPr>
        <w:t>Figura 10</w:t>
      </w:r>
      <w:r w:rsidR="00755247">
        <w:rPr>
          <w:rFonts w:ascii="Times New Roman" w:hAnsi="Times New Roman" w:cs="Times New Roman"/>
          <w:lang w:val="pt-BR"/>
        </w:rPr>
        <w:t xml:space="preserve"> </w:t>
      </w:r>
      <w:r w:rsidR="00755247" w:rsidRPr="00755247">
        <w:rPr>
          <w:rFonts w:ascii="Times New Roman" w:hAnsi="Times New Roman" w:cs="Times New Roman"/>
          <w:lang w:val="pt-BR"/>
        </w:rPr>
        <w:t>da Seção 3</w:t>
      </w:r>
      <w:r>
        <w:rPr>
          <w:rFonts w:ascii="Times New Roman" w:hAnsi="Times New Roman" w:cs="Times New Roman"/>
          <w:lang w:val="pt-BR"/>
        </w:rPr>
        <w:t xml:space="preserve">, </w:t>
      </w:r>
      <w:r w:rsidRPr="000425D0">
        <w:rPr>
          <w:rFonts w:ascii="Times New Roman" w:hAnsi="Times New Roman" w:cs="Times New Roman"/>
          <w:lang w:val="pt-BR"/>
        </w:rPr>
        <w:t xml:space="preserve">à medida que se incrementa o número de elementos </w:t>
      </w:r>
      <w:r w:rsidRPr="000425D0">
        <w:rPr>
          <w:rFonts w:ascii="Times New Roman" w:hAnsi="Times New Roman" w:cs="Times New Roman"/>
          <w:i/>
          <w:iCs/>
          <w:lang w:val="pt-BR"/>
        </w:rPr>
        <w:t>M</w:t>
      </w:r>
      <w:r w:rsidRPr="000425D0">
        <w:rPr>
          <w:rFonts w:ascii="Times New Roman" w:hAnsi="Times New Roman" w:cs="Times New Roman"/>
          <w:lang w:val="pt-BR"/>
        </w:rPr>
        <w:t xml:space="preserve"> na RIS. Observa-se que, ao aumentar </w:t>
      </w:r>
      <w:r w:rsidRPr="000425D0">
        <w:rPr>
          <w:rFonts w:ascii="Times New Roman" w:hAnsi="Times New Roman" w:cs="Times New Roman"/>
          <w:i/>
          <w:iCs/>
          <w:lang w:val="pt-BR"/>
        </w:rPr>
        <w:t>M</w:t>
      </w:r>
      <w:r w:rsidRPr="000425D0">
        <w:rPr>
          <w:rFonts w:ascii="Times New Roman" w:hAnsi="Times New Roman" w:cs="Times New Roman"/>
          <w:lang w:val="pt-BR"/>
        </w:rPr>
        <w:t xml:space="preserve">, também se incrementa a taxa de dados experimentada pelo usuário para os diferentes modelos de canal considerados. Em particular, demonstra-se que, ao dobrar </w:t>
      </w:r>
      <w:r w:rsidRPr="000425D0">
        <w:rPr>
          <w:rFonts w:ascii="Times New Roman" w:hAnsi="Times New Roman" w:cs="Times New Roman"/>
          <w:i/>
          <w:iCs/>
          <w:lang w:val="pt-BR"/>
        </w:rPr>
        <w:t>M</w:t>
      </w:r>
      <w:r w:rsidRPr="000425D0">
        <w:rPr>
          <w:rFonts w:ascii="Times New Roman" w:hAnsi="Times New Roman" w:cs="Times New Roman"/>
          <w:lang w:val="pt-BR"/>
        </w:rPr>
        <w:t xml:space="preserve">, a taxa alcançável aumenta aproximadamente em 2 bps/Hz quando </w:t>
      </w:r>
      <w:r w:rsidRPr="000425D0">
        <w:rPr>
          <w:rFonts w:ascii="Times New Roman" w:hAnsi="Times New Roman" w:cs="Times New Roman"/>
          <w:i/>
          <w:iCs/>
          <w:lang w:val="pt-BR"/>
        </w:rPr>
        <w:t>M</w:t>
      </w:r>
      <w:r w:rsidRPr="000425D0">
        <w:rPr>
          <w:rFonts w:ascii="Times New Roman" w:hAnsi="Times New Roman" w:cs="Times New Roman"/>
          <w:lang w:val="pt-BR"/>
        </w:rPr>
        <w:t xml:space="preserve"> é suficientemente grande.</w:t>
      </w:r>
    </w:p>
    <w:p w14:paraId="7A14EA57" w14:textId="77777777" w:rsidR="006F66A1" w:rsidRPr="000425D0" w:rsidRDefault="006F66A1" w:rsidP="006F66A1">
      <w:pPr>
        <w:pStyle w:val="Prrafodelista"/>
        <w:numPr>
          <w:ilvl w:val="0"/>
          <w:numId w:val="4"/>
        </w:numPr>
        <w:jc w:val="both"/>
        <w:rPr>
          <w:rFonts w:ascii="Times New Roman" w:hAnsi="Times New Roman" w:cs="Times New Roman"/>
          <w:b/>
          <w:bCs/>
          <w:lang w:val="pt-BR"/>
        </w:rPr>
      </w:pPr>
      <w:r w:rsidRPr="000425D0">
        <w:rPr>
          <w:rFonts w:ascii="Times New Roman" w:hAnsi="Times New Roman" w:cs="Times New Roman"/>
          <w:b/>
          <w:bCs/>
          <w:lang w:val="pt-BR"/>
        </w:rPr>
        <w:t>Conclusões</w:t>
      </w:r>
    </w:p>
    <w:p w14:paraId="0F6F02D2" w14:textId="77777777" w:rsidR="006F66A1" w:rsidRPr="000425D0" w:rsidRDefault="006F66A1" w:rsidP="006F66A1">
      <w:pPr>
        <w:jc w:val="both"/>
        <w:rPr>
          <w:rFonts w:ascii="Times New Roman" w:hAnsi="Times New Roman" w:cs="Times New Roman"/>
          <w:lang w:val="pt-BR"/>
        </w:rPr>
      </w:pPr>
      <w:r w:rsidRPr="000425D0">
        <w:rPr>
          <w:rFonts w:ascii="Times New Roman" w:hAnsi="Times New Roman" w:cs="Times New Roman"/>
          <w:lang w:val="pt-BR"/>
        </w:rPr>
        <w:t>As RIS representam uma proposta promissora para transformar o modelo tradicional de sistemas sem fio, que se baseia exclusivamente em componentes ativos, para uma arquitetura híbrida em que componentes ativos e passivos cooperam de maneira inteligente. Elas se posicionam como uma solução eficiente para satisfazer as exigentes demandas das futuras redes 6G, devido ao seu baixo custo e consumo de energia.</w:t>
      </w:r>
    </w:p>
    <w:p w14:paraId="17F22556" w14:textId="4CB474C9" w:rsidR="000425D0" w:rsidRPr="000425D0" w:rsidRDefault="000425D0" w:rsidP="000425D0">
      <w:pPr>
        <w:jc w:val="both"/>
        <w:rPr>
          <w:rFonts w:ascii="Times New Roman" w:hAnsi="Times New Roman" w:cs="Times New Roman"/>
          <w:lang w:val="pt-BR"/>
        </w:rPr>
      </w:pPr>
      <w:r w:rsidRPr="000425D0">
        <w:rPr>
          <w:rFonts w:ascii="Times New Roman" w:hAnsi="Times New Roman" w:cs="Times New Roman"/>
          <w:lang w:val="pt-BR"/>
        </w:rPr>
        <w:t xml:space="preserve">Neste projeto, foi implementado um algoritmo para avaliar o impacto do número de elementos refletivos </w:t>
      </w:r>
      <w:r w:rsidRPr="000425D0">
        <w:rPr>
          <w:rFonts w:ascii="Times New Roman" w:hAnsi="Times New Roman" w:cs="Times New Roman"/>
          <w:i/>
          <w:iCs/>
          <w:lang w:val="pt-BR"/>
        </w:rPr>
        <w:t>M</w:t>
      </w:r>
      <w:r w:rsidRPr="000425D0">
        <w:rPr>
          <w:rFonts w:ascii="Times New Roman" w:hAnsi="Times New Roman" w:cs="Times New Roman"/>
          <w:lang w:val="pt-BR"/>
        </w:rPr>
        <w:t xml:space="preserve"> de uma RIS sobre a taxa de transmissão em um sistema SISO. A simulação permitiu replicar o comportamento teórico descrito em</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{"citationID":"c63JVxse","properties":{"formattedCitation":"[4]","plainCitation":"[4]","noteIndex":0},"citationItems":[{"id":138,"uris":["http://zotero.org/users/7957888/items/3BS86GPY"],"itemData":{"id":138,"type":"article-journal","abstract":"Intelligent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0425D0">
        <w:rPr>
          <w:rFonts w:ascii="Times New Roman" w:hAnsi="Times New Roman" w:cs="Times New Roman"/>
          <w:lang w:val="pt-BR"/>
        </w:rPr>
        <w:t>, no qual se demonstra que a</w:t>
      </w:r>
      <w:r w:rsidR="00AB68E7" w:rsidRPr="00AB68E7">
        <w:rPr>
          <w:rFonts w:ascii="Times New Roman" w:hAnsi="Times New Roman" w:cs="Times New Roman"/>
          <w:lang w:val="pt-BR"/>
        </w:rPr>
        <w:t xml:space="preserve"> taxa de transmissão aumenta progressivamente com o aumento de </w:t>
      </w:r>
      <w:r w:rsidR="00AB68E7" w:rsidRPr="00AB68E7">
        <w:rPr>
          <w:rFonts w:ascii="Times New Roman" w:hAnsi="Times New Roman" w:cs="Times New Roman"/>
          <w:i/>
          <w:iCs/>
          <w:lang w:val="pt-BR"/>
        </w:rPr>
        <w:t>M</w:t>
      </w:r>
      <w:r w:rsidR="00AB68E7">
        <w:rPr>
          <w:rFonts w:ascii="Times New Roman" w:hAnsi="Times New Roman" w:cs="Times New Roman"/>
          <w:i/>
          <w:iCs/>
          <w:lang w:val="pt-BR"/>
        </w:rPr>
        <w:t>.</w:t>
      </w:r>
    </w:p>
    <w:p w14:paraId="3F8F2517" w14:textId="439F34CA" w:rsidR="000425D0" w:rsidRDefault="000425D0" w:rsidP="000425D0">
      <w:pPr>
        <w:jc w:val="both"/>
        <w:rPr>
          <w:rFonts w:ascii="Times New Roman" w:hAnsi="Times New Roman" w:cs="Times New Roman"/>
          <w:lang w:val="pt-BR"/>
        </w:rPr>
      </w:pPr>
      <w:r w:rsidRPr="000425D0">
        <w:rPr>
          <w:rFonts w:ascii="Times New Roman" w:hAnsi="Times New Roman" w:cs="Times New Roman"/>
          <w:lang w:val="pt-BR"/>
        </w:rPr>
        <w:t xml:space="preserve">Finalmente, embora as RIS clássicas ofereçam simplicidade e baixo custo computacional, apresentam limitações em termos de flexibilidade e controle do ambiente eletromagnético. Por isso, como trabalho futuro, propõe-se o estudo de arquiteturas avançadas, conhecidas como </w:t>
      </w:r>
      <w:proofErr w:type="spellStart"/>
      <w:r w:rsidRPr="000425D0">
        <w:rPr>
          <w:rFonts w:ascii="Times New Roman" w:hAnsi="Times New Roman" w:cs="Times New Roman"/>
          <w:lang w:val="pt-BR"/>
        </w:rPr>
        <w:t>Beyond</w:t>
      </w:r>
      <w:proofErr w:type="spellEnd"/>
      <w:r w:rsidRPr="000425D0">
        <w:rPr>
          <w:rFonts w:ascii="Times New Roman" w:hAnsi="Times New Roman" w:cs="Times New Roman"/>
          <w:lang w:val="pt-BR"/>
        </w:rPr>
        <w:t xml:space="preserve"> Diagonal RIS (BD-RIS), cujo modelamento matemático não se limita a uma matriz diagonal, o que resulta em um aumento do desempenho e da cobertura do sistema</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{"citationID":"n0grXKl2","properties":{"formattedCitation":"[5]","plainCitation":"[5]","noteIndex":0},"citationItems":[{"id":141,"uris":["http://zotero.org/users/7957888/items/TUJIMW5P"],"itemData":{"id":141,"type":"article-journal","abstract":"Reconfigurable intelligent surfaces (RISs) are envisioned as a promising technology for future wireless communications. With various hardware realizations, RISs can work under different modes (reflective/transmissive/hybrid) or have different architectures (single/group/fully-connected). However, most existing research focused on single-connected reflective RISs, mathematically characterized by diagonal phase shift matrices, while there is a lack of a comprehensive study for RISs unifying different modes/architectures. In this paper, we solve this issue by analyzing and proposing a general RIS-aided communication model. Specifically, we establish an RIS model not limited to diagonal phase shift matrices, a novel branch referred to as beyond diagonal RIS (BD-RIS), unifying modes and architectures. With the proposed model, we develop efficient algorithms to jointly design transmit precoder and BD-RIS matrix to maximize the sum-rate for RIS-aided systems. We also provide simulation results to compare the performance of BD-RISs with different modes/architectures. Simulation results show that under the same mode, fully- and group-connected RIS can effectively increase the sum-rate performance compared with single-connected RIS, and that hybrid RIS outperforms reflective/transmissive RIS with the same architecture.","container-title":"IEEE Transactions on Wireless Communications","DOI":"10.1109/TWC.2022.3210706","ISSN":"1558-2248","issue":"4","page":"2311-2324","source":"IEEE Xplore","title":"Beyond Diagonal Reconfigurable Intelligent Surfaces: From Transmitting and Reflecting Modes to Single-, Group-, and Fully-Connected Architectures","title-short":"Beyond Diagonal Reconfigurable Intelligent Surfaces","volume":"22","author":[{"family":"Li","given":"Hongyu"},{"family":"Shen","given":"Shanpu"},{"family":"Clerckx","given":"Bruno"}],"issued":{"date-parts":[["2023",4]]}}}],"schema":"https://github.com/citation-style-language/schema/raw/master/csl-citation.json"}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[5]</w:t>
      </w:r>
      <w:r w:rsidR="00C351DD">
        <w:rPr>
          <w:rFonts w:ascii="Times New Roman" w:hAnsi="Times New Roman" w:cs="Times New Roman"/>
          <w:lang w:val="pt-BR"/>
        </w:rPr>
        <w:fldChar w:fldCharType="end"/>
      </w:r>
      <w:r w:rsidRPr="000425D0">
        <w:rPr>
          <w:rFonts w:ascii="Times New Roman" w:hAnsi="Times New Roman" w:cs="Times New Roman"/>
          <w:lang w:val="pt-BR"/>
        </w:rPr>
        <w:t>.</w:t>
      </w:r>
    </w:p>
    <w:p w14:paraId="49050ADB" w14:textId="7D5E868A" w:rsidR="000425D0" w:rsidRDefault="000425D0" w:rsidP="006F66A1">
      <w:pPr>
        <w:pStyle w:val="Prrafodelista"/>
        <w:numPr>
          <w:ilvl w:val="0"/>
          <w:numId w:val="4"/>
        </w:numPr>
        <w:jc w:val="both"/>
        <w:rPr>
          <w:rFonts w:ascii="Times New Roman" w:hAnsi="Times New Roman" w:cs="Times New Roman"/>
          <w:b/>
          <w:bCs/>
          <w:lang w:val="pt-BR"/>
        </w:rPr>
      </w:pPr>
      <w:r w:rsidRPr="000425D0">
        <w:rPr>
          <w:rFonts w:ascii="Times New Roman" w:hAnsi="Times New Roman" w:cs="Times New Roman"/>
          <w:b/>
          <w:bCs/>
          <w:lang w:val="pt-BR"/>
        </w:rPr>
        <w:t>Referências</w:t>
      </w:r>
    </w:p>
    <w:p w14:paraId="2CBBCCEA" w14:textId="77777777" w:rsidR="00755247" w:rsidRPr="00755247" w:rsidRDefault="00C351DD" w:rsidP="00755247">
      <w:pPr>
        <w:pStyle w:val="Bibliografa"/>
        <w:jc w:val="both"/>
        <w:rPr>
          <w:rFonts w:ascii="Times New Roman" w:hAnsi="Times New Roman"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755247" w:rsidRPr="00755247">
        <w:rPr>
          <w:rFonts w:ascii="Times New Roman" w:hAnsi="Times New Roman" w:cs="Times New Roman"/>
          <w:lang w:val="en-US"/>
        </w:rPr>
        <w:t>[1]</w:t>
      </w:r>
      <w:r w:rsidR="00755247" w:rsidRPr="00755247">
        <w:rPr>
          <w:rFonts w:ascii="Times New Roman" w:hAnsi="Times New Roman" w:cs="Times New Roman"/>
          <w:lang w:val="en-US"/>
        </w:rPr>
        <w:tab/>
        <w:t xml:space="preserve">M. Z. Chowdhury, Md. Shahjalal, S. Ahmed, y </w:t>
      </w:r>
      <w:proofErr w:type="spellStart"/>
      <w:r w:rsidR="00755247" w:rsidRPr="00755247">
        <w:rPr>
          <w:rFonts w:ascii="Times New Roman" w:hAnsi="Times New Roman" w:cs="Times New Roman"/>
          <w:lang w:val="en-US"/>
        </w:rPr>
        <w:t>Y</w:t>
      </w:r>
      <w:proofErr w:type="spellEnd"/>
      <w:r w:rsidR="00755247" w:rsidRPr="00755247">
        <w:rPr>
          <w:rFonts w:ascii="Times New Roman" w:hAnsi="Times New Roman" w:cs="Times New Roman"/>
          <w:lang w:val="en-US"/>
        </w:rPr>
        <w:t xml:space="preserve">. M. Jang, «6G Wireless Communication Systems: Applications, Requirements, Technologies, Challenges, and Research Directions», </w:t>
      </w:r>
      <w:r w:rsidR="00755247" w:rsidRPr="00755247">
        <w:rPr>
          <w:rFonts w:ascii="Times New Roman" w:hAnsi="Times New Roman" w:cs="Times New Roman"/>
          <w:i/>
          <w:iCs/>
          <w:lang w:val="en-US"/>
        </w:rPr>
        <w:t>IEEE Open J. Commun. Soc.</w:t>
      </w:r>
      <w:r w:rsidR="00755247" w:rsidRPr="00755247">
        <w:rPr>
          <w:rFonts w:ascii="Times New Roman" w:hAnsi="Times New Roman" w:cs="Times New Roman"/>
          <w:lang w:val="en-US"/>
        </w:rPr>
        <w:t xml:space="preserve">, vol. 1, pp. 957-975, 2020, </w:t>
      </w:r>
      <w:proofErr w:type="spellStart"/>
      <w:r w:rsidR="00755247" w:rsidRPr="00755247">
        <w:rPr>
          <w:rFonts w:ascii="Times New Roman" w:hAnsi="Times New Roman" w:cs="Times New Roman"/>
          <w:lang w:val="en-US"/>
        </w:rPr>
        <w:t>doi</w:t>
      </w:r>
      <w:proofErr w:type="spellEnd"/>
      <w:r w:rsidR="00755247" w:rsidRPr="00755247">
        <w:rPr>
          <w:rFonts w:ascii="Times New Roman" w:hAnsi="Times New Roman" w:cs="Times New Roman"/>
          <w:lang w:val="en-US"/>
        </w:rPr>
        <w:t>: 10.1109/OJCOMS.2020.3010270.</w:t>
      </w:r>
    </w:p>
    <w:p w14:paraId="3BB0EFEB"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[2]</w:t>
      </w:r>
      <w:r w:rsidRPr="00755247">
        <w:rPr>
          <w:rFonts w:ascii="Times New Roman" w:hAnsi="Times New Roman" w:cs="Times New Roman"/>
          <w:lang w:val="en-US"/>
        </w:rPr>
        <w:tab/>
        <w:t xml:space="preserve">P. Li, J. Fan, y J. Wu, «Exploring the key technologies and applications of 6G wireless communication network», </w:t>
      </w:r>
      <w:proofErr w:type="spellStart"/>
      <w:r w:rsidRPr="00755247">
        <w:rPr>
          <w:rFonts w:ascii="Times New Roman" w:hAnsi="Times New Roman" w:cs="Times New Roman"/>
          <w:i/>
          <w:iCs/>
          <w:lang w:val="en-US"/>
        </w:rPr>
        <w:t>iScience</w:t>
      </w:r>
      <w:proofErr w:type="spellEnd"/>
      <w:r w:rsidRPr="00755247">
        <w:rPr>
          <w:rFonts w:ascii="Times New Roman" w:hAnsi="Times New Roman" w:cs="Times New Roman"/>
          <w:lang w:val="en-US"/>
        </w:rPr>
        <w:t xml:space="preserve">, vol. 28, </w:t>
      </w:r>
      <w:proofErr w:type="spellStart"/>
      <w:r w:rsidRPr="00755247">
        <w:rPr>
          <w:rFonts w:ascii="Times New Roman" w:hAnsi="Times New Roman" w:cs="Times New Roman"/>
          <w:lang w:val="en-US"/>
        </w:rPr>
        <w:t>n.</w:t>
      </w:r>
      <w:r w:rsidRPr="00755247">
        <w:rPr>
          <w:rFonts w:ascii="Times New Roman" w:hAnsi="Times New Roman" w:cs="Times New Roman"/>
          <w:vertAlign w:val="superscript"/>
          <w:lang w:val="en-US"/>
        </w:rPr>
        <w:t>o</w:t>
      </w:r>
      <w:proofErr w:type="spellEnd"/>
      <w:r w:rsidRPr="00755247">
        <w:rPr>
          <w:rFonts w:ascii="Times New Roman" w:hAnsi="Times New Roman" w:cs="Times New Roman"/>
          <w:lang w:val="en-US"/>
        </w:rPr>
        <w:t xml:space="preserve"> 5, p. 112281, may 2025, </w:t>
      </w:r>
      <w:proofErr w:type="spellStart"/>
      <w:r w:rsidRPr="00755247">
        <w:rPr>
          <w:rFonts w:ascii="Times New Roman" w:hAnsi="Times New Roman" w:cs="Times New Roman"/>
          <w:lang w:val="en-US"/>
        </w:rPr>
        <w:t>doi</w:t>
      </w:r>
      <w:proofErr w:type="spellEnd"/>
      <w:r w:rsidRPr="00755247">
        <w:rPr>
          <w:rFonts w:ascii="Times New Roman" w:hAnsi="Times New Roman" w:cs="Times New Roman"/>
          <w:lang w:val="en-US"/>
        </w:rPr>
        <w:t>: 10.1016/j.isci.2025.112281.</w:t>
      </w:r>
    </w:p>
    <w:p w14:paraId="0DF0EC15"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[3]</w:t>
      </w:r>
      <w:r w:rsidRPr="00755247">
        <w:rPr>
          <w:rFonts w:ascii="Times New Roman" w:hAnsi="Times New Roman" w:cs="Times New Roman"/>
          <w:lang w:val="en-US"/>
        </w:rPr>
        <w:tab/>
        <w:t xml:space="preserve">Y. Liu </w:t>
      </w:r>
      <w:r w:rsidRPr="00755247">
        <w:rPr>
          <w:rFonts w:ascii="Times New Roman" w:hAnsi="Times New Roman" w:cs="Times New Roman"/>
          <w:i/>
          <w:iCs/>
          <w:lang w:val="en-US"/>
        </w:rPr>
        <w:t>et al.</w:t>
      </w:r>
      <w:r w:rsidRPr="00755247">
        <w:rPr>
          <w:rFonts w:ascii="Times New Roman" w:hAnsi="Times New Roman" w:cs="Times New Roman"/>
          <w:lang w:val="en-US"/>
        </w:rPr>
        <w:t xml:space="preserve">, «Reconfigurable Intelligent Surfaces: Principles and Opportunities», </w:t>
      </w:r>
      <w:r w:rsidRPr="00755247">
        <w:rPr>
          <w:rFonts w:ascii="Times New Roman" w:hAnsi="Times New Roman" w:cs="Times New Roman"/>
          <w:i/>
          <w:iCs/>
          <w:lang w:val="en-US"/>
        </w:rPr>
        <w:t xml:space="preserve">IEEE Commun. </w:t>
      </w:r>
      <w:proofErr w:type="spellStart"/>
      <w:r w:rsidRPr="00755247">
        <w:rPr>
          <w:rFonts w:ascii="Times New Roman" w:hAnsi="Times New Roman" w:cs="Times New Roman"/>
          <w:i/>
          <w:iCs/>
          <w:lang w:val="en-US"/>
        </w:rPr>
        <w:t>Surv</w:t>
      </w:r>
      <w:proofErr w:type="spellEnd"/>
      <w:r w:rsidRPr="00755247">
        <w:rPr>
          <w:rFonts w:ascii="Times New Roman" w:hAnsi="Times New Roman" w:cs="Times New Roman"/>
          <w:i/>
          <w:iCs/>
          <w:lang w:val="en-US"/>
        </w:rPr>
        <w:t>. Tutor.</w:t>
      </w:r>
      <w:r w:rsidRPr="00755247">
        <w:rPr>
          <w:rFonts w:ascii="Times New Roman" w:hAnsi="Times New Roman" w:cs="Times New Roman"/>
          <w:lang w:val="en-US"/>
        </w:rPr>
        <w:t xml:space="preserve">, vol. 23, </w:t>
      </w:r>
      <w:proofErr w:type="spellStart"/>
      <w:r w:rsidRPr="00755247">
        <w:rPr>
          <w:rFonts w:ascii="Times New Roman" w:hAnsi="Times New Roman" w:cs="Times New Roman"/>
          <w:lang w:val="en-US"/>
        </w:rPr>
        <w:t>n.</w:t>
      </w:r>
      <w:r w:rsidRPr="00755247">
        <w:rPr>
          <w:rFonts w:ascii="Times New Roman" w:hAnsi="Times New Roman" w:cs="Times New Roman"/>
          <w:vertAlign w:val="superscript"/>
          <w:lang w:val="en-US"/>
        </w:rPr>
        <w:t>o</w:t>
      </w:r>
      <w:proofErr w:type="spellEnd"/>
      <w:r w:rsidRPr="00755247">
        <w:rPr>
          <w:rFonts w:ascii="Times New Roman" w:hAnsi="Times New Roman" w:cs="Times New Roman"/>
          <w:lang w:val="en-US"/>
        </w:rPr>
        <w:t xml:space="preserve"> 3, pp. 1546-1577, 2021, </w:t>
      </w:r>
      <w:proofErr w:type="spellStart"/>
      <w:r w:rsidRPr="00755247">
        <w:rPr>
          <w:rFonts w:ascii="Times New Roman" w:hAnsi="Times New Roman" w:cs="Times New Roman"/>
          <w:lang w:val="en-US"/>
        </w:rPr>
        <w:t>doi</w:t>
      </w:r>
      <w:proofErr w:type="spellEnd"/>
      <w:r w:rsidRPr="00755247">
        <w:rPr>
          <w:rFonts w:ascii="Times New Roman" w:hAnsi="Times New Roman" w:cs="Times New Roman"/>
          <w:lang w:val="en-US"/>
        </w:rPr>
        <w:t>: 10.1109/COMST.2021.3077737.</w:t>
      </w:r>
    </w:p>
    <w:p w14:paraId="6E9D8FB5"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[4]</w:t>
      </w:r>
      <w:r w:rsidRPr="00755247">
        <w:rPr>
          <w:rFonts w:ascii="Times New Roman" w:hAnsi="Times New Roman" w:cs="Times New Roman"/>
          <w:lang w:val="en-US"/>
        </w:rPr>
        <w:tab/>
        <w:t xml:space="preserve">Q. Wu, S. Zhang, B. Zheng, C. You, y R. Zhang, «Intelligent Reflecting Surface-Aided Wireless Communications: A Tutorial», </w:t>
      </w:r>
      <w:r w:rsidRPr="00755247">
        <w:rPr>
          <w:rFonts w:ascii="Times New Roman" w:hAnsi="Times New Roman" w:cs="Times New Roman"/>
          <w:i/>
          <w:iCs/>
          <w:lang w:val="en-US"/>
        </w:rPr>
        <w:t>IEEE Trans. Commun.</w:t>
      </w:r>
      <w:r w:rsidRPr="00755247">
        <w:rPr>
          <w:rFonts w:ascii="Times New Roman" w:hAnsi="Times New Roman" w:cs="Times New Roman"/>
          <w:lang w:val="en-US"/>
        </w:rPr>
        <w:t xml:space="preserve">, vol. 69, </w:t>
      </w:r>
      <w:proofErr w:type="spellStart"/>
      <w:r w:rsidRPr="00755247">
        <w:rPr>
          <w:rFonts w:ascii="Times New Roman" w:hAnsi="Times New Roman" w:cs="Times New Roman"/>
          <w:lang w:val="en-US"/>
        </w:rPr>
        <w:t>n.</w:t>
      </w:r>
      <w:r w:rsidRPr="00755247">
        <w:rPr>
          <w:rFonts w:ascii="Times New Roman" w:hAnsi="Times New Roman" w:cs="Times New Roman"/>
          <w:vertAlign w:val="superscript"/>
          <w:lang w:val="en-US"/>
        </w:rPr>
        <w:t>o</w:t>
      </w:r>
      <w:proofErr w:type="spellEnd"/>
      <w:r w:rsidRPr="00755247">
        <w:rPr>
          <w:rFonts w:ascii="Times New Roman" w:hAnsi="Times New Roman" w:cs="Times New Roman"/>
          <w:lang w:val="en-US"/>
        </w:rPr>
        <w:t xml:space="preserve"> 5, pp. 3313-3351, may 2021, </w:t>
      </w:r>
      <w:proofErr w:type="spellStart"/>
      <w:r w:rsidRPr="00755247">
        <w:rPr>
          <w:rFonts w:ascii="Times New Roman" w:hAnsi="Times New Roman" w:cs="Times New Roman"/>
          <w:lang w:val="en-US"/>
        </w:rPr>
        <w:t>doi</w:t>
      </w:r>
      <w:proofErr w:type="spellEnd"/>
      <w:r w:rsidRPr="00755247">
        <w:rPr>
          <w:rFonts w:ascii="Times New Roman" w:hAnsi="Times New Roman" w:cs="Times New Roman"/>
          <w:lang w:val="en-US"/>
        </w:rPr>
        <w:t>: 10.1109/TCOMM.2021.3051897.</w:t>
      </w:r>
    </w:p>
    <w:p w14:paraId="2D9F07CB" w14:textId="77777777" w:rsidR="00755247" w:rsidRPr="00755247" w:rsidRDefault="00755247" w:rsidP="00755247">
      <w:pPr>
        <w:pStyle w:val="Bibliografa"/>
        <w:jc w:val="both"/>
        <w:rPr>
          <w:rFonts w:ascii="Times New Roman" w:hAnsi="Times New Roman" w:cs="Times New Roman"/>
        </w:rPr>
      </w:pPr>
      <w:r w:rsidRPr="00755247">
        <w:rPr>
          <w:rFonts w:ascii="Times New Roman" w:hAnsi="Times New Roman" w:cs="Times New Roman"/>
          <w:lang w:val="en-US"/>
        </w:rPr>
        <w:t>[5]</w:t>
      </w:r>
      <w:r w:rsidRPr="00755247">
        <w:rPr>
          <w:rFonts w:ascii="Times New Roman" w:hAnsi="Times New Roman" w:cs="Times New Roman"/>
          <w:lang w:val="en-US"/>
        </w:rPr>
        <w:tab/>
        <w:t xml:space="preserve">H. Li, S. Shen, y B. </w:t>
      </w:r>
      <w:proofErr w:type="spellStart"/>
      <w:r w:rsidRPr="00755247">
        <w:rPr>
          <w:rFonts w:ascii="Times New Roman" w:hAnsi="Times New Roman" w:cs="Times New Roman"/>
          <w:lang w:val="en-US"/>
        </w:rPr>
        <w:t>Clerckx</w:t>
      </w:r>
      <w:proofErr w:type="spellEnd"/>
      <w:r w:rsidRPr="00755247">
        <w:rPr>
          <w:rFonts w:ascii="Times New Roman" w:hAnsi="Times New Roman" w:cs="Times New Roman"/>
          <w:lang w:val="en-US"/>
        </w:rPr>
        <w:t xml:space="preserve">, «Beyond Diagonal Reconfigurable Intelligent Surfaces: From Transmitting and Reflecting Modes to Single-, Group-, and Fully-Connected Architectures», </w:t>
      </w:r>
      <w:r w:rsidRPr="00755247">
        <w:rPr>
          <w:rFonts w:ascii="Times New Roman" w:hAnsi="Times New Roman" w:cs="Times New Roman"/>
          <w:i/>
          <w:iCs/>
          <w:lang w:val="en-US"/>
        </w:rPr>
        <w:t xml:space="preserve">IEEE Trans. </w:t>
      </w:r>
      <w:proofErr w:type="spellStart"/>
      <w:r w:rsidRPr="00755247">
        <w:rPr>
          <w:rFonts w:ascii="Times New Roman" w:hAnsi="Times New Roman" w:cs="Times New Roman"/>
          <w:i/>
          <w:iCs/>
        </w:rPr>
        <w:t>Wirel</w:t>
      </w:r>
      <w:proofErr w:type="spellEnd"/>
      <w:r w:rsidRPr="00755247">
        <w:rPr>
          <w:rFonts w:ascii="Times New Roman" w:hAnsi="Times New Roman" w:cs="Times New Roman"/>
          <w:i/>
          <w:iCs/>
        </w:rPr>
        <w:t xml:space="preserve">. </w:t>
      </w:r>
      <w:proofErr w:type="spellStart"/>
      <w:r w:rsidRPr="00755247">
        <w:rPr>
          <w:rFonts w:ascii="Times New Roman" w:hAnsi="Times New Roman" w:cs="Times New Roman"/>
          <w:i/>
          <w:iCs/>
        </w:rPr>
        <w:t>Commun</w:t>
      </w:r>
      <w:proofErr w:type="spellEnd"/>
      <w:r w:rsidRPr="00755247">
        <w:rPr>
          <w:rFonts w:ascii="Times New Roman" w:hAnsi="Times New Roman" w:cs="Times New Roman"/>
          <w:i/>
          <w:iCs/>
        </w:rPr>
        <w:t>.</w:t>
      </w:r>
      <w:r w:rsidRPr="00755247">
        <w:rPr>
          <w:rFonts w:ascii="Times New Roman" w:hAnsi="Times New Roman" w:cs="Times New Roman"/>
        </w:rPr>
        <w:t xml:space="preserve">, vol. 22, </w:t>
      </w:r>
      <w:proofErr w:type="spellStart"/>
      <w:r w:rsidRPr="00755247">
        <w:rPr>
          <w:rFonts w:ascii="Times New Roman" w:hAnsi="Times New Roman" w:cs="Times New Roman"/>
        </w:rPr>
        <w:t>n.</w:t>
      </w:r>
      <w:r w:rsidRPr="00755247">
        <w:rPr>
          <w:rFonts w:ascii="Times New Roman" w:hAnsi="Times New Roman" w:cs="Times New Roman"/>
          <w:vertAlign w:val="superscript"/>
        </w:rPr>
        <w:t>o</w:t>
      </w:r>
      <w:proofErr w:type="spellEnd"/>
      <w:r w:rsidRPr="00755247">
        <w:rPr>
          <w:rFonts w:ascii="Times New Roman" w:hAnsi="Times New Roman" w:cs="Times New Roman"/>
        </w:rPr>
        <w:t xml:space="preserve"> 4, pp. 2311-2324, abr. 2023, </w:t>
      </w:r>
      <w:proofErr w:type="spellStart"/>
      <w:r w:rsidRPr="00755247">
        <w:rPr>
          <w:rFonts w:ascii="Times New Roman" w:hAnsi="Times New Roman" w:cs="Times New Roman"/>
        </w:rPr>
        <w:t>doi</w:t>
      </w:r>
      <w:proofErr w:type="spellEnd"/>
      <w:r w:rsidRPr="00755247">
        <w:rPr>
          <w:rFonts w:ascii="Times New Roman" w:hAnsi="Times New Roman" w:cs="Times New Roman"/>
        </w:rPr>
        <w:t>: 10.1109/TWC.2022.3210706.</w:t>
      </w:r>
    </w:p>
    <w:p w14:paraId="629EFE99" w14:textId="7392DBCA" w:rsidR="00AB68E7" w:rsidRPr="00AB68E7" w:rsidRDefault="00C351DD" w:rsidP="00AB68E7">
      <w:pPr>
        <w:jc w:val="both"/>
        <w:rPr>
          <w:rFonts w:ascii="Times New Roman" w:hAnsi="Times New Roman" w:cs="Times New Roman"/>
          <w:lang w:val="en-US"/>
        </w:rPr>
      </w:pPr>
      <w:r>
        <w:rPr>
          <w:rFonts w:ascii="Times New Roman" w:hAnsi="Times New Roman" w:cs="Times New Roman"/>
          <w:lang w:val="en-US"/>
        </w:rPr>
        <w:fldChar w:fldCharType="end"/>
      </w:r>
    </w:p>
    <w:sectPr w:rsidR="00AB68E7" w:rsidRPr="00AB68E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CC538" w14:textId="77777777" w:rsidR="00FF203D" w:rsidRDefault="00FF203D" w:rsidP="00AB68E7">
      <w:pPr>
        <w:spacing w:after="0" w:line="240" w:lineRule="auto"/>
      </w:pPr>
      <w:r>
        <w:separator/>
      </w:r>
    </w:p>
  </w:endnote>
  <w:endnote w:type="continuationSeparator" w:id="0">
    <w:p w14:paraId="536F11DF" w14:textId="77777777" w:rsidR="00FF203D" w:rsidRDefault="00FF203D" w:rsidP="00AB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0766E" w14:textId="77777777" w:rsidR="00FF203D" w:rsidRDefault="00FF203D" w:rsidP="00AB68E7">
      <w:pPr>
        <w:spacing w:after="0" w:line="240" w:lineRule="auto"/>
      </w:pPr>
      <w:r>
        <w:separator/>
      </w:r>
    </w:p>
  </w:footnote>
  <w:footnote w:type="continuationSeparator" w:id="0">
    <w:p w14:paraId="56EF0DDF" w14:textId="77777777" w:rsidR="00FF203D" w:rsidRDefault="00FF203D" w:rsidP="00AB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20EDE"/>
    <w:multiLevelType w:val="hybridMultilevel"/>
    <w:tmpl w:val="5EF2FECC"/>
    <w:lvl w:ilvl="0" w:tplc="28CC9BD2">
      <w:start w:val="1"/>
      <w:numFmt w:val="upp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6EF5775"/>
    <w:multiLevelType w:val="hybridMultilevel"/>
    <w:tmpl w:val="A86CEC6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143917"/>
    <w:multiLevelType w:val="hybridMultilevel"/>
    <w:tmpl w:val="A2D691A0"/>
    <w:lvl w:ilvl="0" w:tplc="29A4DCEC">
      <w:start w:val="1"/>
      <w:numFmt w:val="upperRoman"/>
      <w:lvlText w:val="%1."/>
      <w:lvlJc w:val="left"/>
      <w:pPr>
        <w:ind w:left="1080" w:hanging="720"/>
      </w:pPr>
      <w:rPr>
        <w:rFonts w:hint="default"/>
        <w:b/>
        <w:bCs w:val="0"/>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72A1680B"/>
    <w:multiLevelType w:val="hybridMultilevel"/>
    <w:tmpl w:val="A86CEC62"/>
    <w:lvl w:ilvl="0" w:tplc="F1224E14">
      <w:start w:val="1"/>
      <w:numFmt w:val="upp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187215318">
    <w:abstractNumId w:val="0"/>
  </w:num>
  <w:num w:numId="2" w16cid:durableId="343897709">
    <w:abstractNumId w:val="3"/>
  </w:num>
  <w:num w:numId="3" w16cid:durableId="900092824">
    <w:abstractNumId w:val="2"/>
  </w:num>
  <w:num w:numId="4" w16cid:durableId="1731803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C2"/>
    <w:rsid w:val="000425D0"/>
    <w:rsid w:val="000B6498"/>
    <w:rsid w:val="002A634F"/>
    <w:rsid w:val="005724C1"/>
    <w:rsid w:val="006F66A1"/>
    <w:rsid w:val="00755247"/>
    <w:rsid w:val="00792533"/>
    <w:rsid w:val="00807DED"/>
    <w:rsid w:val="008952BF"/>
    <w:rsid w:val="009A5DC2"/>
    <w:rsid w:val="00A2643F"/>
    <w:rsid w:val="00A26EED"/>
    <w:rsid w:val="00AB68E7"/>
    <w:rsid w:val="00B11F65"/>
    <w:rsid w:val="00C351DD"/>
    <w:rsid w:val="00C7556D"/>
    <w:rsid w:val="00D719F2"/>
    <w:rsid w:val="00FB6F9D"/>
    <w:rsid w:val="00FF203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7EDD"/>
  <w15:chartTrackingRefBased/>
  <w15:docId w15:val="{7E85A050-9DCE-4A19-BF47-F90A38F2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5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A5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5DC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5DC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5DC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5D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5D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5D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5D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DC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5DC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5DC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5DC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5DC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5D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5D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5D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5DC2"/>
    <w:rPr>
      <w:rFonts w:eastAsiaTheme="majorEastAsia" w:cstheme="majorBidi"/>
      <w:color w:val="272727" w:themeColor="text1" w:themeTint="D8"/>
    </w:rPr>
  </w:style>
  <w:style w:type="paragraph" w:styleId="Ttulo">
    <w:name w:val="Title"/>
    <w:basedOn w:val="Normal"/>
    <w:next w:val="Normal"/>
    <w:link w:val="TtuloCar"/>
    <w:uiPriority w:val="10"/>
    <w:qFormat/>
    <w:rsid w:val="009A5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5D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5D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5D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5DC2"/>
    <w:pPr>
      <w:spacing w:before="160"/>
      <w:jc w:val="center"/>
    </w:pPr>
    <w:rPr>
      <w:i/>
      <w:iCs/>
      <w:color w:val="404040" w:themeColor="text1" w:themeTint="BF"/>
    </w:rPr>
  </w:style>
  <w:style w:type="character" w:customStyle="1" w:styleId="CitaCar">
    <w:name w:val="Cita Car"/>
    <w:basedOn w:val="Fuentedeprrafopredeter"/>
    <w:link w:val="Cita"/>
    <w:uiPriority w:val="29"/>
    <w:rsid w:val="009A5DC2"/>
    <w:rPr>
      <w:i/>
      <w:iCs/>
      <w:color w:val="404040" w:themeColor="text1" w:themeTint="BF"/>
    </w:rPr>
  </w:style>
  <w:style w:type="paragraph" w:styleId="Prrafodelista">
    <w:name w:val="List Paragraph"/>
    <w:basedOn w:val="Normal"/>
    <w:uiPriority w:val="34"/>
    <w:qFormat/>
    <w:rsid w:val="009A5DC2"/>
    <w:pPr>
      <w:ind w:left="720"/>
      <w:contextualSpacing/>
    </w:pPr>
  </w:style>
  <w:style w:type="character" w:styleId="nfasisintenso">
    <w:name w:val="Intense Emphasis"/>
    <w:basedOn w:val="Fuentedeprrafopredeter"/>
    <w:uiPriority w:val="21"/>
    <w:qFormat/>
    <w:rsid w:val="009A5DC2"/>
    <w:rPr>
      <w:i/>
      <w:iCs/>
      <w:color w:val="2F5496" w:themeColor="accent1" w:themeShade="BF"/>
    </w:rPr>
  </w:style>
  <w:style w:type="paragraph" w:styleId="Citadestacada">
    <w:name w:val="Intense Quote"/>
    <w:basedOn w:val="Normal"/>
    <w:next w:val="Normal"/>
    <w:link w:val="CitadestacadaCar"/>
    <w:uiPriority w:val="30"/>
    <w:qFormat/>
    <w:rsid w:val="009A5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5DC2"/>
    <w:rPr>
      <w:i/>
      <w:iCs/>
      <w:color w:val="2F5496" w:themeColor="accent1" w:themeShade="BF"/>
    </w:rPr>
  </w:style>
  <w:style w:type="character" w:styleId="Referenciaintensa">
    <w:name w:val="Intense Reference"/>
    <w:basedOn w:val="Fuentedeprrafopredeter"/>
    <w:uiPriority w:val="32"/>
    <w:qFormat/>
    <w:rsid w:val="009A5DC2"/>
    <w:rPr>
      <w:b/>
      <w:bCs/>
      <w:smallCaps/>
      <w:color w:val="2F5496" w:themeColor="accent1" w:themeShade="BF"/>
      <w:spacing w:val="5"/>
    </w:rPr>
  </w:style>
  <w:style w:type="table" w:styleId="Tablaconcuadrcula">
    <w:name w:val="Table Grid"/>
    <w:basedOn w:val="Tablanormal"/>
    <w:uiPriority w:val="39"/>
    <w:rsid w:val="0080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07DE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C351DD"/>
    <w:pPr>
      <w:tabs>
        <w:tab w:val="left" w:pos="384"/>
      </w:tabs>
      <w:spacing w:after="0" w:line="240" w:lineRule="auto"/>
      <w:ind w:left="384" w:hanging="384"/>
    </w:pPr>
  </w:style>
  <w:style w:type="paragraph" w:styleId="Encabezado">
    <w:name w:val="header"/>
    <w:basedOn w:val="Normal"/>
    <w:link w:val="EncabezadoCar"/>
    <w:uiPriority w:val="99"/>
    <w:unhideWhenUsed/>
    <w:rsid w:val="00AB68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8E7"/>
  </w:style>
  <w:style w:type="paragraph" w:styleId="Piedepgina">
    <w:name w:val="footer"/>
    <w:basedOn w:val="Normal"/>
    <w:link w:val="PiedepginaCar"/>
    <w:uiPriority w:val="99"/>
    <w:unhideWhenUsed/>
    <w:rsid w:val="00AB68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8327">
      <w:bodyDiv w:val="1"/>
      <w:marLeft w:val="0"/>
      <w:marRight w:val="0"/>
      <w:marTop w:val="0"/>
      <w:marBottom w:val="0"/>
      <w:divBdr>
        <w:top w:val="none" w:sz="0" w:space="0" w:color="auto"/>
        <w:left w:val="none" w:sz="0" w:space="0" w:color="auto"/>
        <w:bottom w:val="none" w:sz="0" w:space="0" w:color="auto"/>
        <w:right w:val="none" w:sz="0" w:space="0" w:color="auto"/>
      </w:divBdr>
    </w:div>
    <w:div w:id="646128681">
      <w:bodyDiv w:val="1"/>
      <w:marLeft w:val="0"/>
      <w:marRight w:val="0"/>
      <w:marTop w:val="0"/>
      <w:marBottom w:val="0"/>
      <w:divBdr>
        <w:top w:val="none" w:sz="0" w:space="0" w:color="auto"/>
        <w:left w:val="none" w:sz="0" w:space="0" w:color="auto"/>
        <w:bottom w:val="none" w:sz="0" w:space="0" w:color="auto"/>
        <w:right w:val="none" w:sz="0" w:space="0" w:color="auto"/>
      </w:divBdr>
    </w:div>
    <w:div w:id="719062725">
      <w:bodyDiv w:val="1"/>
      <w:marLeft w:val="0"/>
      <w:marRight w:val="0"/>
      <w:marTop w:val="0"/>
      <w:marBottom w:val="0"/>
      <w:divBdr>
        <w:top w:val="none" w:sz="0" w:space="0" w:color="auto"/>
        <w:left w:val="none" w:sz="0" w:space="0" w:color="auto"/>
        <w:bottom w:val="none" w:sz="0" w:space="0" w:color="auto"/>
        <w:right w:val="none" w:sz="0" w:space="0" w:color="auto"/>
      </w:divBdr>
    </w:div>
    <w:div w:id="861550000">
      <w:bodyDiv w:val="1"/>
      <w:marLeft w:val="0"/>
      <w:marRight w:val="0"/>
      <w:marTop w:val="0"/>
      <w:marBottom w:val="0"/>
      <w:divBdr>
        <w:top w:val="none" w:sz="0" w:space="0" w:color="auto"/>
        <w:left w:val="none" w:sz="0" w:space="0" w:color="auto"/>
        <w:bottom w:val="none" w:sz="0" w:space="0" w:color="auto"/>
        <w:right w:val="none" w:sz="0" w:space="0" w:color="auto"/>
      </w:divBdr>
    </w:div>
    <w:div w:id="1123034352">
      <w:bodyDiv w:val="1"/>
      <w:marLeft w:val="0"/>
      <w:marRight w:val="0"/>
      <w:marTop w:val="0"/>
      <w:marBottom w:val="0"/>
      <w:divBdr>
        <w:top w:val="none" w:sz="0" w:space="0" w:color="auto"/>
        <w:left w:val="none" w:sz="0" w:space="0" w:color="auto"/>
        <w:bottom w:val="none" w:sz="0" w:space="0" w:color="auto"/>
        <w:right w:val="none" w:sz="0" w:space="0" w:color="auto"/>
      </w:divBdr>
    </w:div>
    <w:div w:id="1319724790">
      <w:bodyDiv w:val="1"/>
      <w:marLeft w:val="0"/>
      <w:marRight w:val="0"/>
      <w:marTop w:val="0"/>
      <w:marBottom w:val="0"/>
      <w:divBdr>
        <w:top w:val="none" w:sz="0" w:space="0" w:color="auto"/>
        <w:left w:val="none" w:sz="0" w:space="0" w:color="auto"/>
        <w:bottom w:val="none" w:sz="0" w:space="0" w:color="auto"/>
        <w:right w:val="none" w:sz="0" w:space="0" w:color="auto"/>
      </w:divBdr>
    </w:div>
    <w:div w:id="1573739889">
      <w:bodyDiv w:val="1"/>
      <w:marLeft w:val="0"/>
      <w:marRight w:val="0"/>
      <w:marTop w:val="0"/>
      <w:marBottom w:val="0"/>
      <w:divBdr>
        <w:top w:val="none" w:sz="0" w:space="0" w:color="auto"/>
        <w:left w:val="none" w:sz="0" w:space="0" w:color="auto"/>
        <w:bottom w:val="none" w:sz="0" w:space="0" w:color="auto"/>
        <w:right w:val="none" w:sz="0" w:space="0" w:color="auto"/>
      </w:divBdr>
    </w:div>
    <w:div w:id="1601791099">
      <w:bodyDiv w:val="1"/>
      <w:marLeft w:val="0"/>
      <w:marRight w:val="0"/>
      <w:marTop w:val="0"/>
      <w:marBottom w:val="0"/>
      <w:divBdr>
        <w:top w:val="none" w:sz="0" w:space="0" w:color="auto"/>
        <w:left w:val="none" w:sz="0" w:space="0" w:color="auto"/>
        <w:bottom w:val="none" w:sz="0" w:space="0" w:color="auto"/>
        <w:right w:val="none" w:sz="0" w:space="0" w:color="auto"/>
      </w:divBdr>
    </w:div>
    <w:div w:id="1799377674">
      <w:bodyDiv w:val="1"/>
      <w:marLeft w:val="0"/>
      <w:marRight w:val="0"/>
      <w:marTop w:val="0"/>
      <w:marBottom w:val="0"/>
      <w:divBdr>
        <w:top w:val="none" w:sz="0" w:space="0" w:color="auto"/>
        <w:left w:val="none" w:sz="0" w:space="0" w:color="auto"/>
        <w:bottom w:val="none" w:sz="0" w:space="0" w:color="auto"/>
        <w:right w:val="none" w:sz="0" w:space="0" w:color="auto"/>
      </w:divBdr>
    </w:div>
    <w:div w:id="19206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3A345-5871-44A7-B82B-612A1A76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4415</Words>
  <Characters>24288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alpha</dc:creator>
  <cp:keywords/>
  <dc:description/>
  <cp:lastModifiedBy>the alpha</cp:lastModifiedBy>
  <cp:revision>5</cp:revision>
  <cp:lastPrinted>2025-04-26T14:44:00Z</cp:lastPrinted>
  <dcterms:created xsi:type="dcterms:W3CDTF">2025-04-23T18:44:00Z</dcterms:created>
  <dcterms:modified xsi:type="dcterms:W3CDTF">2025-04-26T14:45:00Z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id="uSkRxW4C"/&gt;&lt;style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