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e300260b5c8c4d06" /><Relationship Type="http://schemas.openxmlformats.org/officeDocument/2006/relationships/officeDocument" Target="/word/document.xml" Id="Rcfcdbd6e126244ca" /><Relationship Type="http://schemas.microsoft.com/office/2011/relationships/webextensiontaskpanes" Target="/word/webextensions/taskpanes.xml" Id="Rdea8cf8997524439" /><Relationship Type="http://schemas.openxmlformats.org/package/2006/relationships/metadata/core-properties" Target="/package/services/metadata/core-properties/2f2b69e92b6147cc81714f5d4184861f.psmdcp" Id="R24c6cb4fd990480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70eaa4b712424078" /><Relationship Type="http://schemas.openxmlformats.org/officeDocument/2006/relationships/webSettings" Target="/word/webSettings.xml" Id="Rfdfbe605b0ea4828" /><Relationship Type="http://schemas.openxmlformats.org/officeDocument/2006/relationships/fontTable" Target="/word/fontTable.xml" Id="Rde9239741abf4fc5" /><Relationship Type="http://schemas.openxmlformats.org/officeDocument/2006/relationships/settings" Target="/word/settings.xml" Id="R2e6e69e702664b7a" /><Relationship Type="http://schemas.openxmlformats.org/officeDocument/2006/relationships/styles" Target="/word/styles.xml" Id="Rfc28b1258d824c4b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f6e55f4f66df4689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f6e55f4f66df4689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f69c3d41-186d-4958-92e3-e004193f39cf}">
  <we:reference id="934232fa-6f6f-4f06-949f-b1a11dc76e81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