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to URM</w:t>
      </w:r>
    </w:p>
    <w:p>
      <w:pPr>
        <w:spacing w:after="80"/>
      </w:pPr>
      <w:r>
        <w:rPr>
          <w:b/>
          <w:bCs/>
          <w:color w:val="0070F2"/>
          <w:sz w:val="30"/>
          <w:szCs w:val="30"/>
        </w:rPr>
        <w:t xml:space="preserve">Commercial Agreement (CA) Calculation and Entitlement Set (ES) Update</w:t>
      </w: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7160"/>
      </w:tblGrid>
      <w:tr>
        <w:trPr>
          <w:tblHeader/>
        </w:trPr>
        <w:tc>
          <w:tcPr>
            <w:tcW w:type="dxa" w:w="220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Attribute</w:t>
            </w:r>
          </w:p>
        </w:tc>
        <w:tc>
          <w:tcPr>
            <w:tcW w:type="dxa" w:w="716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Value</w:t>
            </w:r>
          </w:p>
        </w:tc>
      </w:tr>
      <w:tr>
        <w:tc>
          <w:tcPr>
            <w:tcW w:type="dxa" w:w="22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Document Type</w:t>
            </w:r>
          </w:p>
        </w:tc>
        <w:tc>
          <w:tcPr>
            <w:tcW w:type="dxa" w:w="71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Process Description + AS-IS / TO-BE Analysis</w:t>
            </w:r>
          </w:p>
        </w:tc>
      </w:tr>
      <w:tr>
        <w:tc>
          <w:tcPr>
            <w:tcW w:type="dxa" w:w="22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Domain</w:t>
            </w:r>
          </w:p>
        </w:tc>
        <w:tc>
          <w:tcPr>
            <w:tcW w:type="dxa" w:w="71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CLFL Fulfillment Solutions — URM Migration</w:t>
            </w:r>
          </w:p>
        </w:tc>
      </w:tr>
      <w:tr>
        <w:tc>
          <w:tcPr>
            <w:tcW w:type="dxa" w:w="22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Status</w:t>
            </w:r>
          </w:p>
        </w:tc>
        <w:tc>
          <w:tcPr>
            <w:tcW w:type="dxa" w:w="71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Draft — June 2026</w:t>
            </w:r>
          </w:p>
        </w:tc>
      </w:tr>
      <w:tr>
        <w:tc>
          <w:tcPr>
            <w:tcW w:type="dxa" w:w="22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Prepared by</w:t>
            </w:r>
          </w:p>
        </w:tc>
        <w:tc>
          <w:tcPr>
            <w:tcW w:type="dxa" w:w="71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Architecture Team (diana.dekret@sap.com)</w:t>
            </w:r>
          </w:p>
        </w:tc>
      </w:tr>
      <w:tr>
        <w:tc>
          <w:tcPr>
            <w:tcW w:type="dxa" w:w="22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Sources</w:t>
            </w:r>
          </w:p>
        </w:tc>
        <w:tc>
          <w:tcPr>
            <w:tcW w:type="dxa" w:w="71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CLFL Wiki, abap-documentor GitHub, ITSCLFL Jira</w:t>
            </w:r>
          </w:p>
        </w:tc>
      </w:tr>
    </w:tbl>
    <w:p>
      <w:pPr>
        <w:spacing w:after="200"/>
      </w:pP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20"/>
      </w:pPr>
      <w:r>
        <w:t xml:space="preserve">Move to URM is the process of migrating an existing SAP customer's tenants from a legacy provisioning model (SPC or CIS) to the Unified Resource Manager (URM) platform. The CA Calculation and ES Update is the CRM-side orchestration that:</w:t>
      </w:r>
    </w:p>
    <w:p>
      <w:pPr>
        <w:spacing w:after="60"/>
      </w:pPr>
    </w:p>
    <w:p>
      <w:pPr>
        <w:pStyle w:val="ListParagraph"/>
        <w:numPr>
          <w:ilvl w:val="0"/>
          <w:numId w:val="2"/>
        </w:numPr>
        <w:spacing w:after="80"/>
      </w:pPr>
      <w:r>
        <w:rPr>
          <w:b w:val="false"/>
          <w:bCs w:val="false"/>
        </w:rPr>
        <w:t xml:space="preserve">Recalculates the Commercial Agreement (CA) for the Entitlement Set to select the correct Greenfield (URM) Fulfillment Profile items</w:t>
      </w:r>
    </w:p>
    <w:p>
      <w:pPr>
        <w:pStyle w:val="ListParagraph"/>
        <w:numPr>
          <w:ilvl w:val="0"/>
          <w:numId w:val="2"/>
        </w:numPr>
        <w:spacing w:after="80"/>
      </w:pPr>
      <w:r>
        <w:rPr>
          <w:b w:val="false"/>
          <w:bCs w:val="false"/>
        </w:rPr>
        <w:t xml:space="preserve">Creates or updates Entitlements accordingly</w:t>
      </w:r>
    </w:p>
    <w:p>
      <w:pPr>
        <w:pStyle w:val="ListParagraph"/>
        <w:numPr>
          <w:ilvl w:val="0"/>
          <w:numId w:val="2"/>
        </w:numPr>
        <w:spacing w:after="80"/>
      </w:pPr>
      <w:r>
        <w:rPr>
          <w:b w:val="false"/>
          <w:bCs w:val="false"/>
        </w:rPr>
        <w:t xml:space="preserve">Schedules "Move to URM" Fulfillment Requests (FRs) to the provisioning layer</w:t>
      </w:r>
    </w:p>
    <w:p>
      <w:pPr>
        <w:spacing w:after="120"/>
      </w:pPr>
    </w:p>
    <w:p>
      <w:pPr>
        <w:spacing w:after="120"/>
      </w:pPr>
      <w:r>
        <w:t xml:space="preserve">There are two distinct type variants with different triggers but the same CA/ES core logic:</w:t>
      </w: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000"/>
        <w:gridCol w:w="3680"/>
        <w:gridCol w:w="3680"/>
      </w:tblGrid>
      <w:tr>
        <w:trPr>
          <w:tblHeader/>
        </w:trPr>
        <w:tc>
          <w:tcPr>
            <w:tcW w:type="dxa" w:w="200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Attribute</w:t>
            </w:r>
          </w:p>
        </w:tc>
        <w:tc>
          <w:tcPr>
            <w:tcW w:type="dxa" w:w="368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Type 1 — Contract Restructuring</w:t>
            </w:r>
          </w:p>
        </w:tc>
        <w:tc>
          <w:tcPr>
            <w:tcW w:type="dxa" w:w="368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Type 2 — Mixed Fulfillment (Flexible FFP)</w:t>
            </w:r>
          </w:p>
        </w:tc>
      </w:tr>
      <w:tr>
        <w:tc>
          <w:tcPr>
            <w:tcW w:type="dxa" w:w="2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Trigger</w:t>
            </w:r>
          </w:p>
        </w:tc>
        <w:tc>
          <w:tcPr>
            <w:tcW w:type="dxa" w:w="36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Automatic — new contract with Change Reason 71 - Conversion</w:t>
            </w:r>
          </w:p>
        </w:tc>
        <w:tc>
          <w:tcPr>
            <w:tcW w:type="dxa" w:w="36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Manual — OPS/LoB user presses "Move to URM" button on ES in CRM Web UI</w:t>
            </w:r>
          </w:p>
        </w:tc>
      </w:tr>
      <w:tr>
        <w:tc>
          <w:tcPr>
            <w:tcW w:type="dxa" w:w="2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Decision maker</w:t>
            </w:r>
          </w:p>
        </w:tc>
        <w:tc>
          <w:tcPr>
            <w:tcW w:type="dxa" w:w="36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Account Executive (AE) via contract restructure</w:t>
            </w:r>
          </w:p>
        </w:tc>
        <w:tc>
          <w:tcPr>
            <w:tcW w:type="dxa" w:w="36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Service Owner (SO) or CLFL OPS per Application Group</w:t>
            </w:r>
          </w:p>
        </w:tc>
      </w:tr>
      <w:tr>
        <w:tc>
          <w:tcPr>
            <w:tcW w:type="dxa" w:w="2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SKU change</w:t>
            </w:r>
          </w:p>
        </w:tc>
        <w:tc>
          <w:tcPr>
            <w:tcW w:type="dxa" w:w="36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Yes — TPT conversion table /CFF/C_TPT_CONV, type M</w:t>
            </w:r>
          </w:p>
        </w:tc>
        <w:tc>
          <w:tcPr>
            <w:tcW w:type="dxa" w:w="36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No</w:t>
            </w:r>
          </w:p>
        </w:tc>
      </w:tr>
      <w:tr>
        <w:tc>
          <w:tcPr>
            <w:tcW w:type="dxa" w:w="2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FFP type</w:t>
            </w:r>
          </w:p>
        </w:tc>
        <w:tc>
          <w:tcPr>
            <w:tcW w:type="dxa" w:w="36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Standard (non-Flexible) with two separate FFPs</w:t>
            </w:r>
          </w:p>
        </w:tc>
        <w:tc>
          <w:tcPr>
            <w:tcW w:type="dxa" w:w="36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Flexible FFP — single FFP with Brownfield + Greenfield items per App Group</w:t>
            </w:r>
          </w:p>
        </w:tc>
      </w:tr>
      <w:tr>
        <w:tc>
          <w:tcPr>
            <w:tcW w:type="dxa" w:w="2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FR operation type</w:t>
            </w:r>
          </w:p>
        </w:tc>
        <w:tc>
          <w:tcPr>
            <w:tcW w:type="dxa" w:w="36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9507156 - Move to URM</w:t>
            </w:r>
          </w:p>
        </w:tc>
        <w:tc>
          <w:tcPr>
            <w:tcW w:type="dxa" w:w="36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9507156 - Move to URM (SPC model) / none (CIS model)</w:t>
            </w:r>
          </w:p>
        </w:tc>
      </w:tr>
      <w:tr>
        <w:tc>
          <w:tcPr>
            <w:tcW w:type="dxa" w:w="2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Go-live</w:t>
            </w:r>
          </w:p>
        </w:tc>
        <w:tc>
          <w:tcPr>
            <w:tcW w:type="dxa" w:w="36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28.07.2025</w:t>
            </w:r>
          </w:p>
        </w:tc>
        <w:tc>
          <w:tcPr>
            <w:tcW w:type="dxa" w:w="36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02.02.2026</w:t>
            </w:r>
          </w:p>
        </w:tc>
      </w:tr>
    </w:tbl>
    <w:p>
      <w:pPr>
        <w:pStyle w:val="Heading1"/>
      </w:pPr>
      <w:r>
        <w:t xml:space="preserve">2. Key Concepts and Terminology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3000"/>
        <w:gridCol w:w="6360"/>
      </w:tblGrid>
      <w:tr>
        <w:trPr>
          <w:tblHeader/>
        </w:trPr>
        <w:tc>
          <w:tcPr>
            <w:tcW w:type="dxa" w:w="300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Term</w:t>
            </w:r>
          </w:p>
        </w:tc>
        <w:tc>
          <w:tcPr>
            <w:tcW w:type="dxa" w:w="636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Meaning</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URM</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Unified Resource Manager — new centralized SAP provisioning platform</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Brownfield Entitlement</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Existing entitlement already provisioned via SPC or CIS</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Greenfield Entitlement</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New entitlement to be provisioned via URM</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Flexible FFP</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Fulfillment Profile containing both Brownfield and Greenfield TPT items per Application Group</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Application Group</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Line of Business grouping (e.g., S4, BDC) — migration runs per-LoB</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TPT / ZH-code</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Tenant Product Type — identifies the provisioning channel for a tenant</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/CFF/C_TPT_CONV</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TPT Conversion mapping table — links source and target TPTs for Type 1 (type M = Move to URM)</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/CFF/C_FP_APGR</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Application Group customizing — defines URM Scenario (WM / WO) and controlled availability flag</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/CFF/LOB2URMTRCK</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Move to URM tracking table — records migration progress per Brownfield entitlement</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/CFF/REPL_LOCK</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Replacement lock table — blocks migrations when ES is in move / merge process</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ZF_CREATE_FR_TO_URM</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Scheduled action that creates the "Move to URM" FR for a Brownfield entitlement</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FRFLEXFFP</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Settings key — main activation switch for Flexible FFP logic (value X = enabled)</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WM (With Move FR)</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URM Scenario for SPC-based provisioning model — FR is sent from CRM to SPC</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WO (Without Move FR)</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URM Scenario for CIS-based provisioning model — customer migrates directly on BTP</w:t>
            </w:r>
          </w:p>
        </w:tc>
      </w:tr>
    </w:tbl>
    <w:p>
      <w:pPr>
        <w:pStyle w:val="Heading1"/>
      </w:pPr>
      <w:r>
        <w:t xml:space="preserve">3. Prerequisites</w:t>
      </w:r>
    </w:p>
    <w:p>
      <w:pPr>
        <w:pStyle w:val="Heading2"/>
      </w:pPr>
      <w:r>
        <w:t xml:space="preserve">3.1 System and Customizing (both types)</w:t>
      </w:r>
    </w:p>
    <w:p>
      <w:pPr>
        <w:pStyle w:val="ListParagraph"/>
        <w:numPr>
          <w:ilvl w:val="0"/>
          <w:numId w:val="3"/>
        </w:numPr>
        <w:spacing w:after="80"/>
      </w:pPr>
      <w:r>
        <w:rPr>
          <w:b w:val="false"/>
          <w:bCs w:val="false"/>
        </w:rPr>
        <w:t xml:space="preserve">Flexible FFP activation key FRFLEXFFP = X is set in /CFF/ settings</w:t>
      </w:r>
    </w:p>
    <w:p>
      <w:pPr>
        <w:pStyle w:val="ListParagraph"/>
        <w:numPr>
          <w:ilvl w:val="0"/>
          <w:numId w:val="3"/>
        </w:numPr>
        <w:spacing w:after="80"/>
      </w:pPr>
      <w:r>
        <w:rPr>
          <w:b w:val="false"/>
          <w:bCs w:val="false"/>
        </w:rPr>
        <w:t xml:space="preserve">Target TPTs / ZH-codes are maintained in /CFF/C_FP_APGR with correct URM Scenario (WM for SPC, WO for CIS)</w:t>
      </w:r>
    </w:p>
    <w:p>
      <w:pPr>
        <w:pStyle w:val="ListParagraph"/>
        <w:numPr>
          <w:ilvl w:val="0"/>
          <w:numId w:val="3"/>
        </w:numPr>
        <w:spacing w:after="80"/>
      </w:pPr>
      <w:r>
        <w:rPr>
          <w:b w:val="false"/>
          <w:bCs w:val="false"/>
        </w:rPr>
        <w:t xml:space="preserve">For Type 1: Source and Target TPT/ZH-code pair is in /CFF/C_TPT_CONV with conversion type M - Move to URM</w:t>
      </w:r>
    </w:p>
    <w:p>
      <w:pPr>
        <w:pStyle w:val="ListParagraph"/>
        <w:numPr>
          <w:ilvl w:val="0"/>
          <w:numId w:val="3"/>
        </w:numPr>
        <w:spacing w:after="80"/>
      </w:pPr>
      <w:r>
        <w:rPr>
          <w:b w:val="false"/>
          <w:bCs w:val="false"/>
        </w:rPr>
        <w:t xml:space="preserve">For Type 1: Source and Target SKUs are mapped in ZPROD_MAP_SIG</w:t>
      </w:r>
    </w:p>
    <w:p>
      <w:pPr>
        <w:pStyle w:val="ListParagraph"/>
        <w:numPr>
          <w:ilvl w:val="0"/>
          <w:numId w:val="3"/>
        </w:numPr>
        <w:spacing w:after="80"/>
      </w:pPr>
      <w:r>
        <w:rPr>
          <w:b w:val="false"/>
          <w:bCs w:val="false"/>
        </w:rPr>
        <w:t xml:space="preserve">SPC must have a procedure configured for FR operation type 9507156 - Move to URM (SPC-managed LoB only)</w:t>
      </w:r>
    </w:p>
    <w:p>
      <w:pPr>
        <w:spacing w:after="80"/>
      </w:pPr>
    </w:p>
    <w:p>
      <w:pPr>
        <w:pStyle w:val="Heading2"/>
      </w:pPr>
      <w:r>
        <w:t xml:space="preserve">3.2 Entitlement Set State (Type 2 — manual trigger only)</w:t>
      </w:r>
    </w:p>
    <w:p>
      <w:pPr>
        <w:pStyle w:val="ListParagraph"/>
        <w:numPr>
          <w:ilvl w:val="0"/>
          <w:numId w:val="3"/>
        </w:numPr>
        <w:spacing w:after="80"/>
      </w:pPr>
      <w:r>
        <w:rPr>
          <w:b w:val="false"/>
          <w:bCs w:val="false"/>
        </w:rPr>
        <w:t xml:space="preserve">ES is in Active status</w:t>
      </w:r>
    </w:p>
    <w:p>
      <w:pPr>
        <w:pStyle w:val="ListParagraph"/>
        <w:numPr>
          <w:ilvl w:val="0"/>
          <w:numId w:val="3"/>
        </w:numPr>
        <w:spacing w:after="80"/>
      </w:pPr>
      <w:r>
        <w:rPr>
          <w:b w:val="false"/>
          <w:bCs w:val="false"/>
        </w:rPr>
        <w:t xml:space="preserve">ES GUID is NOT present in /CFF/REPL_LOCK (no ongoing move/merge blocking it)</w:t>
      </w:r>
    </w:p>
    <w:p>
      <w:pPr>
        <w:pStyle w:val="ListParagraph"/>
        <w:numPr>
          <w:ilvl w:val="0"/>
          <w:numId w:val="3"/>
        </w:numPr>
        <w:spacing w:after="80"/>
      </w:pPr>
      <w:r>
        <w:rPr>
          <w:b w:val="false"/>
          <w:bCs w:val="false"/>
        </w:rPr>
        <w:t xml:space="preserve">All licenses on Active/Future phases sourcing Brownfield Entitlements have Flexible FFP only</w:t>
      </w:r>
    </w:p>
    <w:p>
      <w:pPr>
        <w:pStyle w:val="ListParagraph"/>
        <w:numPr>
          <w:ilvl w:val="0"/>
          <w:numId w:val="3"/>
        </w:numPr>
        <w:spacing w:after="80"/>
      </w:pPr>
      <w:r>
        <w:rPr>
          <w:b w:val="false"/>
          <w:bCs w:val="false"/>
        </w:rPr>
        <w:t xml:space="preserve">All relevant Brownfield entitlement statuses have the FOR_MOVE_TO_URM flag enabled in /CFF/ENTL_PRIOR (no intermediate statuses like "Provisioning Triggered")</w:t>
      </w:r>
    </w:p>
    <w:p>
      <w:pPr>
        <w:pStyle w:val="ListParagraph"/>
        <w:numPr>
          <w:ilvl w:val="0"/>
          <w:numId w:val="3"/>
        </w:numPr>
        <w:spacing w:after="80"/>
      </w:pPr>
      <w:r>
        <w:rPr>
          <w:b w:val="false"/>
          <w:bCs w:val="false"/>
        </w:rPr>
        <w:t xml:space="preserve">No Brownfield entitlement already exists in /CFF/LOB2URMTRCK (no in-progress or completed migration)</w:t>
      </w:r>
    </w:p>
    <w:p>
      <w:pPr>
        <w:pStyle w:val="ListParagraph"/>
        <w:numPr>
          <w:ilvl w:val="0"/>
          <w:numId w:val="3"/>
        </w:numPr>
        <w:spacing w:after="80"/>
      </w:pPr>
      <w:r>
        <w:rPr>
          <w:b w:val="false"/>
          <w:bCs w:val="false"/>
        </w:rPr>
        <w:t xml:space="preserve">For Controlled Availability by Customer ID: End Customer CRM ID is present in /CFF/FL_CONTR_AV for the Application Group</w:t>
      </w:r>
    </w:p>
    <w:p>
      <w:pPr>
        <w:spacing w:after="80"/>
      </w:pPr>
    </w:p>
    <w:p>
      <w:pPr>
        <w:pStyle w:val="Heading2"/>
      </w:pPr>
      <w:r>
        <w:t xml:space="preserve">3.3 Contract State (Type 1 — automatic trigger only)</w:t>
      </w:r>
    </w:p>
    <w:p>
      <w:pPr>
        <w:pStyle w:val="ListParagraph"/>
        <w:numPr>
          <w:ilvl w:val="0"/>
          <w:numId w:val="3"/>
        </w:numPr>
        <w:spacing w:after="80"/>
      </w:pPr>
      <w:r>
        <w:rPr>
          <w:b w:val="false"/>
          <w:bCs w:val="false"/>
        </w:rPr>
        <w:t xml:space="preserve">Restructure contract has target PC Item with Change Reason 71 - Conversion</w:t>
      </w:r>
    </w:p>
    <w:p>
      <w:pPr>
        <w:pStyle w:val="ListParagraph"/>
        <w:numPr>
          <w:ilvl w:val="0"/>
          <w:numId w:val="3"/>
        </w:numPr>
        <w:spacing w:after="80"/>
      </w:pPr>
      <w:r>
        <w:rPr>
          <w:b w:val="false"/>
          <w:bCs w:val="false"/>
        </w:rPr>
        <w:t xml:space="preserve">Source PC Item is terminated with reason 09 - TerminationFromRestructure or has "Cloud PC Restructured at date" set (or 74 - Exchange out for Change quotes)</w:t>
      </w:r>
    </w:p>
    <w:p>
      <w:pPr>
        <w:pStyle w:val="ListParagraph"/>
        <w:numPr>
          <w:ilvl w:val="0"/>
          <w:numId w:val="3"/>
        </w:numPr>
        <w:spacing w:after="80"/>
      </w:pPr>
      <w:r>
        <w:rPr>
          <w:b w:val="false"/>
          <w:bCs w:val="false"/>
        </w:rPr>
        <w:t xml:space="preserve">Entry is present in /CFF/REPL_LOCK for the Restructure PC</w:t>
      </w:r>
    </w:p>
    <w:p>
      <w:pPr>
        <w:pStyle w:val="ListParagraph"/>
        <w:numPr>
          <w:ilvl w:val="0"/>
          <w:numId w:val="3"/>
        </w:numPr>
        <w:spacing w:after="80"/>
      </w:pPr>
      <w:r>
        <w:rPr>
          <w:b w:val="false"/>
          <w:bCs w:val="false"/>
        </w:rPr>
        <w:t xml:space="preserve">"Move to URM" flag set on Brownfield Entitlement (via CRM Web UI or report /CFF/ENT_SIMULATION)</w:t>
      </w: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FFC107" w:sz="8"/>
              <w:left w:val="single" w:color="FFC107" w:sz="8"/>
              <w:bottom w:val="single" w:color="FFC107" w:sz="8"/>
              <w:right w:val="single" w:color="FFC107" w:sz="8"/>
            </w:tcBorders>
            <w:shd w:fill="FFF3CD" w:val="clear"/>
          </w:tcPr>
          <w:p>
            <w:pPr>
              <w:spacing w:after="80"/>
            </w:pPr>
            <w:r>
              <w:rPr>
                <w:b/>
                <w:bCs/>
                <w:color w:val="3D3D3D"/>
                <w:sz w:val="20"/>
                <w:szCs w:val="20"/>
              </w:rPr>
              <w:t xml:space="preserve">Important — Unsupported Scenarios</w:t>
            </w:r>
          </w:p>
          <w:p>
            <w:pPr>
              <w:spacing w:after="60"/>
            </w:pPr>
            <w:r>
              <w:rPr>
                <w:color w:val="3D3D3D"/>
                <w:sz w:val="19"/>
                <w:szCs w:val="19"/>
              </w:rPr>
              <w:t xml:space="preserve">• Restructure booked within different split criteria (different End customer, BPO end customer, or Sales org) is NOT supported.</w:t>
            </w:r>
          </w:p>
          <w:p>
            <w:pPr>
              <w:spacing w:after="60"/>
            </w:pPr>
            <w:r>
              <w:rPr>
                <w:color w:val="3D3D3D"/>
                <w:sz w:val="19"/>
                <w:szCs w:val="19"/>
              </w:rPr>
              <w:t xml:space="preserve">• Restructure for TPT SACP (private) requires Business approval before a manual workaround can be applied.</w:t>
            </w:r>
          </w:p>
          <w:p>
            <w:pPr>
              <w:spacing w:after="60"/>
            </w:pPr>
            <w:r>
              <w:rPr>
                <w:color w:val="3D3D3D"/>
                <w:sz w:val="19"/>
                <w:szCs w:val="19"/>
              </w:rPr>
              <w:t xml:space="preserve">• Controlled Availability: migration is blocked for customers not on the approved list in /CFF/FL_CONTR_AV.</w:t>
            </w:r>
          </w:p>
        </w:tc>
      </w:tr>
    </w:tbl>
    <w:p>
      <w:pPr>
        <w:pStyle w:val="Heading1"/>
      </w:pPr>
      <w:r>
        <w:t xml:space="preserve">4. Current State — Process Flows (AS-IS)</w:t>
      </w:r>
    </w:p>
    <w:p>
      <w:pPr>
        <w:spacing w:after="120"/>
      </w:pPr>
      <w:r>
        <w:t xml:space="preserve">The diagrams below describe the end-to-end flow for each variant. Mermaid source is included for reference; rendered flow charts appear in the CLFL Wiki.</w:t>
      </w:r>
    </w:p>
    <w:p>
      <w:pPr>
        <w:spacing w:after="80"/>
      </w:pPr>
    </w:p>
    <w:p>
      <w:pPr>
        <w:pStyle w:val="Heading2"/>
      </w:pPr>
      <w:r>
        <w:t xml:space="preserve">4.1 Type 1 — Contract Restructuring (Automatic Trigger)</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720"/>
        <w:gridCol w:w="8640"/>
      </w:tblGrid>
      <w:tr>
        <w:tc>
          <w:tcPr>
            <w:tcW w:type="dxa" w:w="720"/>
            <w:vMerge w:val="restart"/>
            <w:tcBorders>
              <w:top w:val="none" w:color="FFFFFF" w:sz="0"/>
              <w:left w:val="none" w:color="FFFFFF" w:sz="0"/>
              <w:bottom w:val="none" w:color="FFFFFF" w:sz="0"/>
              <w:right w:val="none" w:color="FFFFFF" w:sz="0"/>
            </w:tcBorders>
            <w:shd w:fill="003B5C" w:val="clear"/>
          </w:tcPr>
          <w:p/>
        </w:tc>
        <w:tc>
          <w:tcPr>
            <w:tcW w:type="dxa" w:w="8640"/>
            <w:tcBorders>
              <w:top w:val="none" w:color="FFFFFF" w:sz="0"/>
              <w:left w:val="none" w:color="FFFFFF" w:sz="0"/>
              <w:bottom w:val="none" w:color="FFFFFF" w:sz="0"/>
              <w:right w:val="none" w:color="FFFFFF" w:sz="0"/>
            </w:tcBorders>
            <w:shd w:fill="FFFFFF" w:val="clear"/>
          </w:tcPr>
          <w:p>
            <w:pPr>
              <w:spacing w:after="40" w:before="40"/>
            </w:pPr>
            <w:r>
              <w:rPr>
                <w:b/>
                <w:bCs/>
                <w:color w:val="003B5C"/>
                <w:sz w:val="20"/>
                <w:szCs w:val="20"/>
              </w:rPr>
              <w:t xml:space="preserve">STEP 1 — Contract booking</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120"/>
            </w:pPr>
            <w:r>
              <w:t xml:space="preserve">Account Executive (AE) books a Restructure Contract in CRM:</w:t>
            </w:r>
          </w:p>
          <w:p>
            <w:pPr>
              <w:pStyle w:val="ListParagraph"/>
              <w:numPr>
                <w:ilvl w:val="0"/>
                <w:numId w:val="4"/>
              </w:numPr>
              <w:spacing w:after="80"/>
            </w:pPr>
            <w:r>
              <w:rPr>
                <w:b w:val="false"/>
                <w:bCs w:val="false"/>
              </w:rPr>
              <w:t xml:space="preserve">Target PC Item has Change Reason 71 - Conversion</w:t>
            </w:r>
          </w:p>
          <w:p>
            <w:pPr>
              <w:pStyle w:val="ListParagraph"/>
              <w:numPr>
                <w:ilvl w:val="0"/>
                <w:numId w:val="4"/>
              </w:numPr>
              <w:spacing w:after="80"/>
            </w:pPr>
            <w:r>
              <w:rPr>
                <w:b w:val="false"/>
                <w:bCs w:val="false"/>
              </w:rPr>
              <w:t xml:space="preserve">Source SKU is mapped to Target BDS SKU in ZPROD_MAP_SIG</w:t>
            </w:r>
          </w:p>
          <w:p>
            <w:pPr>
              <w:pStyle w:val="ListParagraph"/>
              <w:numPr>
                <w:ilvl w:val="0"/>
                <w:numId w:val="4"/>
              </w:numPr>
              <w:spacing w:after="80"/>
            </w:pPr>
            <w:r>
              <w:rPr>
                <w:b w:val="false"/>
                <w:bCs w:val="false"/>
              </w:rPr>
              <w:t xml:space="preserve">Source TPT and Target TPT are linked in /CFF/C_TPT_CONV (type M)</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40" w:before="40"/>
            </w:pPr>
            <w:r>
              <w:rPr>
                <w:b/>
                <w:bCs/>
                <w:color w:val="003B5C"/>
                <w:sz w:val="20"/>
                <w:szCs w:val="20"/>
              </w:rPr>
              <w:t xml:space="preserve">STEP 2 — Set "Move to URM" flag on Entitlement</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120"/>
            </w:pPr>
            <w:r>
              <w:t xml:space="preserve">OPS or system sets "Move to URM" flag on the Brownfield Entitlement (via CRM Web UI or report /CFF/ENT_SIMULATION).</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40" w:before="40"/>
            </w:pPr>
            <w:r>
              <w:rPr>
                <w:b/>
                <w:bCs/>
                <w:color w:val="003B5C"/>
                <w:sz w:val="20"/>
                <w:szCs w:val="20"/>
              </w:rPr>
              <w:t xml:space="preserve">STEP 3 — "Update from CA" triggers CA Calculation</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120"/>
            </w:pPr>
            <w:r>
              <w:t xml:space="preserve">Class /CFF/CL_CA_OBJECT aggregates license phases from the Provider Contract adapter (/CFF/CL_CA_MERGER_TEMP). The system selects Greenfield FFP items for the Target TPT.</w:t>
            </w:r>
          </w:p>
          <w:p>
            <w:pPr>
              <w:spacing w:after="120"/>
            </w:pPr>
            <w:r>
              <w:t xml:space="preserve">A Greenfield Entitlement is created in a BDC Cockpit ES (Type 9) with URM provisioning scenario.</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40" w:before="40"/>
            </w:pPr>
            <w:r>
              <w:rPr>
                <w:b/>
                <w:bCs/>
                <w:color w:val="003B5C"/>
                <w:sz w:val="20"/>
                <w:szCs w:val="20"/>
              </w:rPr>
              <w:t xml:space="preserve">STEP 4 — Schedule and execute "Move to URM" FR</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120"/>
            </w:pPr>
            <w:r>
              <w:t xml:space="preserve">Action ZF_CREATE_FR_TO_URM is scheduled on the Source Brownfield Entitlement (start date = contract start date of Target Entitlement minus lead time from TPT customizing).</w:t>
            </w:r>
          </w:p>
          <w:p>
            <w:pPr>
              <w:spacing w:after="120"/>
            </w:pPr>
            <w:r>
              <w:t xml:space="preserve">When the action executes, FR 9507156 "Move to URM" is created and sent to SPC for each provisioned Brownfield Entitlement.</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40" w:before="40"/>
            </w:pPr>
            <w:r>
              <w:rPr>
                <w:b/>
                <w:bCs/>
                <w:color w:val="003B5C"/>
                <w:sz w:val="20"/>
                <w:szCs w:val="20"/>
              </w:rPr>
              <w:t xml:space="preserve">STEP 5 — SPC executes tenant migration</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120"/>
            </w:pPr>
            <w:r>
              <w:t xml:space="preserve">SPC performs:</w:t>
            </w:r>
          </w:p>
          <w:p>
            <w:pPr>
              <w:pStyle w:val="ListParagraph"/>
              <w:numPr>
                <w:ilvl w:val="0"/>
                <w:numId w:val="4"/>
              </w:numPr>
              <w:spacing w:after="80"/>
            </w:pPr>
            <w:r>
              <w:rPr>
                <w:b w:val="false"/>
                <w:bCs w:val="false"/>
              </w:rPr>
              <w:t xml:space="preserve">Creates Solution Resource in URM using the same Tenant ID (for re-wiring)</w:t>
            </w:r>
          </w:p>
          <w:p>
            <w:pPr>
              <w:pStyle w:val="ListParagraph"/>
              <w:numPr>
                <w:ilvl w:val="0"/>
                <w:numId w:val="4"/>
              </w:numPr>
              <w:spacing w:after="80"/>
            </w:pPr>
            <w:r>
              <w:rPr>
                <w:b w:val="false"/>
                <w:bCs w:val="false"/>
              </w:rPr>
              <w:t xml:space="preserve">Sets up external integrations (UCL coordination required)</w:t>
            </w:r>
          </w:p>
          <w:p>
            <w:pPr>
              <w:pStyle w:val="ListParagraph"/>
              <w:numPr>
                <w:ilvl w:val="0"/>
                <w:numId w:val="4"/>
              </w:numPr>
              <w:spacing w:after="80"/>
            </w:pPr>
            <w:r>
              <w:rPr>
                <w:b w:val="false"/>
                <w:bCs w:val="false"/>
              </w:rPr>
              <w:t xml:space="preserve">Deletes old PLD-based solution without tenant termination</w:t>
            </w:r>
          </w:p>
          <w:p>
            <w:pPr>
              <w:spacing w:after="120"/>
            </w:pPr>
            <w:r>
              <w:t xml:space="preserve">Result: Source Brownfield Entitlement status changes to "Moved to URM" (the "Move to URM" flag is automatically cleared). Brownfield Tenant becomes a sub-tenant of the Greenfield Tenant. Brownfield lifecycle becomes invisible in CRM.</w:t>
            </w:r>
          </w:p>
        </w:tc>
      </w:tr>
    </w:tbl>
    <w:p>
      <w:pPr>
        <w:spacing w:after="160"/>
      </w:pPr>
    </w:p>
    <w:p>
      <w:pPr>
        <w:pStyle w:val="Heading2"/>
      </w:pPr>
      <w:r>
        <w:t xml:space="preserve">4.2 Type 2 — Mixed Fulfillment / Flexible FFP, SPC-based LoB (Manual Trigger)</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720"/>
        <w:gridCol w:w="8640"/>
      </w:tblGrid>
      <w:tr>
        <w:tc>
          <w:tcPr>
            <w:tcW w:type="dxa" w:w="720"/>
            <w:vMerge w:val="restart"/>
            <w:tcBorders>
              <w:top w:val="none" w:color="FFFFFF" w:sz="0"/>
              <w:left w:val="none" w:color="FFFFFF" w:sz="0"/>
              <w:bottom w:val="none" w:color="FFFFFF" w:sz="0"/>
              <w:right w:val="none" w:color="FFFFFF" w:sz="0"/>
            </w:tcBorders>
            <w:shd w:fill="0070F2" w:val="clear"/>
          </w:tcPr>
          <w:p/>
        </w:tc>
        <w:tc>
          <w:tcPr>
            <w:tcW w:type="dxa" w:w="8640"/>
            <w:tcBorders>
              <w:top w:val="none" w:color="FFFFFF" w:sz="0"/>
              <w:left w:val="none" w:color="FFFFFF" w:sz="0"/>
              <w:bottom w:val="none" w:color="FFFFFF" w:sz="0"/>
              <w:right w:val="none" w:color="FFFFFF" w:sz="0"/>
            </w:tcBorders>
            <w:shd w:fill="FFFFFF" w:val="clear"/>
          </w:tcPr>
          <w:p>
            <w:pPr>
              <w:spacing w:after="40" w:before="40"/>
            </w:pPr>
            <w:r>
              <w:rPr>
                <w:b/>
                <w:bCs/>
                <w:color w:val="0070F2"/>
                <w:sz w:val="20"/>
                <w:szCs w:val="20"/>
              </w:rPr>
              <w:t xml:space="preserve">STEP 1 — Initiation via CRM Web UI</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120"/>
            </w:pPr>
            <w:r>
              <w:t xml:space="preserve">Service Owner or CLFL OPS clicks "Move to URM" button on the Entitlement Set in CRM Web UI. Selects an Application Group (LoB). System displays the list of corresponding Brownfield Entitlements.</w:t>
            </w:r>
          </w:p>
          <w:p>
            <w:pPr>
              <w:spacing w:after="120"/>
            </w:pPr>
            <w:r>
              <w:t xml:space="preserve">Alternative: Backend report /CFF/MOVE_LOB_TO_URM can be used instead of the Web UI button.</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40" w:before="40"/>
            </w:pPr>
            <w:r>
              <w:rPr>
                <w:b/>
                <w:bCs/>
                <w:color w:val="0070F2"/>
                <w:sz w:val="20"/>
                <w:szCs w:val="20"/>
              </w:rPr>
              <w:t xml:space="preserve">STEP 2 — Eligibility Validation</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120"/>
            </w:pPr>
            <w:r>
              <w:t xml:space="preserve">System validates all Brownfield entitlements. If any check fails, the process stops with an error message. Checks performed:</w:t>
            </w:r>
          </w:p>
          <w:p>
            <w:pPr>
              <w:pStyle w:val="ListParagraph"/>
              <w:numPr>
                <w:ilvl w:val="0"/>
                <w:numId w:val="4"/>
              </w:numPr>
              <w:spacing w:after="80"/>
            </w:pPr>
            <w:r>
              <w:rPr>
                <w:b w:val="false"/>
                <w:bCs w:val="false"/>
              </w:rPr>
              <w:t xml:space="preserve">ES is in Active status</w:t>
            </w:r>
          </w:p>
          <w:p>
            <w:pPr>
              <w:pStyle w:val="ListParagraph"/>
              <w:numPr>
                <w:ilvl w:val="0"/>
                <w:numId w:val="4"/>
              </w:numPr>
              <w:spacing w:after="80"/>
            </w:pPr>
            <w:r>
              <w:rPr>
                <w:b w:val="false"/>
                <w:bCs w:val="false"/>
              </w:rPr>
              <w:t xml:space="preserve">ES GUID not in /CFF/REPL_LOCK</w:t>
            </w:r>
          </w:p>
          <w:p>
            <w:pPr>
              <w:pStyle w:val="ListParagraph"/>
              <w:numPr>
                <w:ilvl w:val="0"/>
                <w:numId w:val="4"/>
              </w:numPr>
              <w:spacing w:after="80"/>
            </w:pPr>
            <w:r>
              <w:rPr>
                <w:b w:val="false"/>
                <w:bCs w:val="false"/>
              </w:rPr>
              <w:t xml:space="preserve">All sourcing licenses have Flexible FFP only</w:t>
            </w:r>
          </w:p>
          <w:p>
            <w:pPr>
              <w:pStyle w:val="ListParagraph"/>
              <w:numPr>
                <w:ilvl w:val="0"/>
                <w:numId w:val="4"/>
              </w:numPr>
              <w:spacing w:after="80"/>
            </w:pPr>
            <w:r>
              <w:rPr>
                <w:b w:val="false"/>
                <w:bCs w:val="false"/>
              </w:rPr>
              <w:t xml:space="preserve">All Brownfield entitlement statuses have FOR_MOVE_TO_URM flag enabled in /CFF/ENTL_PRIOR</w:t>
            </w:r>
          </w:p>
          <w:p>
            <w:pPr>
              <w:pStyle w:val="ListParagraph"/>
              <w:numPr>
                <w:ilvl w:val="0"/>
                <w:numId w:val="4"/>
              </w:numPr>
              <w:spacing w:after="80"/>
            </w:pPr>
            <w:r>
              <w:rPr>
                <w:b w:val="false"/>
                <w:bCs w:val="false"/>
              </w:rPr>
              <w:t xml:space="preserve">No Brownfield entitlement already in /CFF/LOB2URMTRCK</w:t>
            </w:r>
          </w:p>
          <w:p>
            <w:pPr>
              <w:pStyle w:val="ListParagraph"/>
              <w:numPr>
                <w:ilvl w:val="0"/>
                <w:numId w:val="4"/>
              </w:numPr>
              <w:spacing w:after="80"/>
            </w:pPr>
            <w:r>
              <w:rPr>
                <w:b w:val="false"/>
                <w:bCs w:val="false"/>
              </w:rPr>
              <w:t xml:space="preserve">Customer is in /CFF/FL_CONTR_AV (if App Group uses Controlled Availability by Customer ID)</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40" w:before="40"/>
            </w:pPr>
            <w:r>
              <w:rPr>
                <w:b/>
                <w:bCs/>
                <w:color w:val="0070F2"/>
                <w:sz w:val="20"/>
                <w:szCs w:val="20"/>
              </w:rPr>
              <w:t xml:space="preserve">STEP 3 — ES Lock and Entitlement Attribute Adjustment</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120"/>
            </w:pPr>
            <w:r>
              <w:t xml:space="preserve">For each provisioned (not Open) Brownfield Entitlement:</w:t>
            </w:r>
          </w:p>
          <w:p>
            <w:pPr>
              <w:pStyle w:val="ListParagraph"/>
              <w:numPr>
                <w:ilvl w:val="0"/>
                <w:numId w:val="4"/>
              </w:numPr>
              <w:spacing w:after="80"/>
            </w:pPr>
            <w:r>
              <w:rPr>
                <w:b w:val="false"/>
                <w:bCs w:val="false"/>
              </w:rPr>
              <w:t xml:space="preserve">ES is locked with "Auto locked due to Move to URM" status (prevents conflicting Update from CA)</w:t>
            </w:r>
          </w:p>
          <w:p>
            <w:pPr>
              <w:pStyle w:val="ListParagraph"/>
              <w:numPr>
                <w:ilvl w:val="0"/>
                <w:numId w:val="4"/>
              </w:numPr>
              <w:spacing w:after="80"/>
            </w:pPr>
            <w:r>
              <w:rPr>
                <w:b w:val="false"/>
                <w:bCs w:val="false"/>
              </w:rPr>
              <w:t xml:space="preserve">"To URM" flag is enabled on the Entitlement</w:t>
            </w:r>
          </w:p>
          <w:p>
            <w:pPr>
              <w:pStyle w:val="ListParagraph"/>
              <w:numPr>
                <w:ilvl w:val="0"/>
                <w:numId w:val="4"/>
              </w:numPr>
              <w:spacing w:after="80"/>
            </w:pPr>
            <w:r>
              <w:rPr>
                <w:b w:val="false"/>
                <w:bCs w:val="false"/>
              </w:rPr>
              <w:t xml:space="preserve">Action ZF_CREATE_FR_TO_URM is scheduled</w:t>
            </w:r>
          </w:p>
          <w:p>
            <w:pPr>
              <w:spacing w:after="120"/>
            </w:pPr>
            <w:r>
              <w:t xml:space="preserve">For each Open Brownfield Entitlement (never provisioned):</w:t>
            </w:r>
          </w:p>
          <w:p>
            <w:pPr>
              <w:pStyle w:val="ListParagraph"/>
              <w:numPr>
                <w:ilvl w:val="0"/>
                <w:numId w:val="4"/>
              </w:numPr>
              <w:spacing w:after="80"/>
            </w:pPr>
            <w:r>
              <w:rPr>
                <w:b w:val="false"/>
                <w:bCs w:val="false"/>
              </w:rPr>
              <w:t xml:space="preserve">Status is set to Cancelled (no tenant to migrate)</w:t>
            </w:r>
          </w:p>
          <w:p>
            <w:pPr>
              <w:spacing w:after="120"/>
            </w:pPr>
            <w:r>
              <w:t xml:space="preserve">Records for all affected Brownfield Entitlements are created in /CFF/LOB2URMTRCK.</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40" w:before="40"/>
            </w:pPr>
            <w:r>
              <w:rPr>
                <w:b/>
                <w:bCs/>
                <w:color w:val="0070F2"/>
                <w:sz w:val="20"/>
                <w:szCs w:val="20"/>
              </w:rPr>
              <w:t xml:space="preserve">STEP 4 — FR Creation and Tracking Table Update (per Brownfield Entitlement)</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120"/>
            </w:pPr>
            <w:r>
              <w:t xml:space="preserve">ZF_CREATE_FR_TO_URM executes per Brownfield Entitlement:</w:t>
            </w:r>
          </w:p>
          <w:p>
            <w:pPr>
              <w:pStyle w:val="ListParagraph"/>
              <w:numPr>
                <w:ilvl w:val="0"/>
                <w:numId w:val="4"/>
              </w:numPr>
              <w:spacing w:after="80"/>
            </w:pPr>
            <w:r>
              <w:rPr>
                <w:b w:val="false"/>
                <w:bCs w:val="false"/>
              </w:rPr>
              <w:t xml:space="preserve">FR 9507156 "Move to URM" is created and sent to SPC</w:t>
            </w:r>
          </w:p>
          <w:p>
            <w:pPr>
              <w:pStyle w:val="ListParagraph"/>
              <w:numPr>
                <w:ilvl w:val="0"/>
                <w:numId w:val="4"/>
              </w:numPr>
              <w:spacing w:after="80"/>
            </w:pPr>
            <w:r>
              <w:rPr>
                <w:b w:val="false"/>
                <w:bCs w:val="false"/>
              </w:rPr>
              <w:t xml:space="preserve">Brownfield Entitlement status changes to "Move to URM In Process"</w:t>
            </w:r>
          </w:p>
          <w:p>
            <w:pPr>
              <w:pStyle w:val="ListParagraph"/>
              <w:numPr>
                <w:ilvl w:val="0"/>
                <w:numId w:val="4"/>
              </w:numPr>
              <w:spacing w:after="80"/>
            </w:pPr>
            <w:r>
              <w:rPr>
                <w:b w:val="false"/>
                <w:bCs w:val="false"/>
              </w:rPr>
              <w:t xml:space="preserve">Corresponding /CFF/LOB2URMTRCK record is marked as Processed</w:t>
            </w:r>
          </w:p>
          <w:p>
            <w:pPr>
              <w:spacing w:after="120"/>
            </w:pPr>
            <w:r>
              <w:t xml:space="preserve">This repeats for each provisioned Brownfield Entitlement.</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40" w:before="40"/>
            </w:pPr>
            <w:r>
              <w:rPr>
                <w:b/>
                <w:bCs/>
                <w:color w:val="0070F2"/>
                <w:sz w:val="20"/>
                <w:szCs w:val="20"/>
              </w:rPr>
              <w:t xml:space="preserve">STEP 5 — ES Lock Release and Automatic Update from CA</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120"/>
            </w:pPr>
            <w:r>
              <w:t xml:space="preserve">When the LAST Brownfield Entitlement is processed:</w:t>
            </w:r>
          </w:p>
          <w:p>
            <w:pPr>
              <w:pStyle w:val="ListParagraph"/>
              <w:numPr>
                <w:ilvl w:val="0"/>
                <w:numId w:val="4"/>
              </w:numPr>
              <w:spacing w:after="80"/>
            </w:pPr>
            <w:r>
              <w:rPr>
                <w:b w:val="false"/>
                <w:bCs w:val="false"/>
              </w:rPr>
              <w:t xml:space="preserve">"Auto locked due to Move to URM" status is removed from the ES</w:t>
            </w:r>
          </w:p>
          <w:p>
            <w:pPr>
              <w:pStyle w:val="ListParagraph"/>
              <w:numPr>
                <w:ilvl w:val="0"/>
                <w:numId w:val="4"/>
              </w:numPr>
              <w:spacing w:after="80"/>
            </w:pPr>
            <w:r>
              <w:rPr>
                <w:b w:val="false"/>
                <w:bCs w:val="false"/>
              </w:rPr>
              <w:t xml:space="preserve">Automatic "Update from CA" is executed on the ES</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40" w:before="40"/>
            </w:pPr>
            <w:r>
              <w:rPr>
                <w:b/>
                <w:bCs/>
                <w:color w:val="0070F2"/>
                <w:sz w:val="20"/>
                <w:szCs w:val="20"/>
              </w:rPr>
              <w:t xml:space="preserve">STEP 6 — Flexible FFP Calculation (Greenfield Scenario Selection)</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120"/>
            </w:pPr>
            <w:r>
              <w:t xml:space="preserve">The Update from CA triggers the Flexible FFP calculation for the Application Group. Since all Brownfield Entitlements are now in "Move to URM In Process" (not "Provided"), the decision logic selects Greenfield FFP items:</w:t>
            </w:r>
          </w:p>
          <w:p>
            <w:pPr>
              <w:pStyle w:val="ListParagraph"/>
              <w:numPr>
                <w:ilvl w:val="0"/>
                <w:numId w:val="4"/>
              </w:numPr>
              <w:spacing w:after="80"/>
            </w:pPr>
            <w:r>
              <w:rPr>
                <w:b w:val="false"/>
                <w:bCs w:val="false"/>
              </w:rPr>
              <w:t xml:space="preserve">Check 1: Any Provided Greenfield Entitlement? — No</w:t>
            </w:r>
          </w:p>
          <w:p>
            <w:pPr>
              <w:pStyle w:val="ListParagraph"/>
              <w:numPr>
                <w:ilvl w:val="0"/>
                <w:numId w:val="4"/>
              </w:numPr>
              <w:spacing w:after="80"/>
            </w:pPr>
            <w:r>
              <w:rPr>
                <w:b w:val="false"/>
                <w:bCs w:val="false"/>
              </w:rPr>
              <w:t xml:space="preserve">Check 2: Any Provided Brownfield Entitlement? — No (all are "In Process")</w:t>
            </w:r>
          </w:p>
          <w:p>
            <w:pPr>
              <w:pStyle w:val="ListParagraph"/>
              <w:numPr>
                <w:ilvl w:val="0"/>
                <w:numId w:val="4"/>
              </w:numPr>
              <w:spacing w:after="80"/>
            </w:pPr>
            <w:r>
              <w:rPr>
                <w:b w:val="false"/>
                <w:bCs w:val="false"/>
              </w:rPr>
              <w:t xml:space="preserve">Checks 3–5: Contract validity analysis → result: SELECT GREENFIELD FFP items</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40" w:before="40"/>
            </w:pPr>
            <w:r>
              <w:rPr>
                <w:b/>
                <w:bCs/>
                <w:color w:val="0070F2"/>
                <w:sz w:val="20"/>
                <w:szCs w:val="20"/>
              </w:rPr>
              <w:t xml:space="preserve">STEP 7 — Greenfield Entitlement Creation and Tenant Setup FR</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120"/>
            </w:pPr>
            <w:r>
              <w:t xml:space="preserve">Greenfield Entitlement(s) are created in the same General ES (Type 1) as the Brownfield Entitlements.</w:t>
            </w:r>
          </w:p>
          <w:p>
            <w:pPr>
              <w:spacing w:after="120"/>
            </w:pPr>
            <w:r>
              <w:t xml:space="preserve">Tenant Setup FRs are sent to URM to create the parent tenant.</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40" w:before="40"/>
            </w:pPr>
            <w:r>
              <w:rPr>
                <w:b/>
                <w:bCs/>
                <w:color w:val="0070F2"/>
                <w:sz w:val="20"/>
                <w:szCs w:val="20"/>
              </w:rPr>
              <w:t xml:space="preserve">STEP 8 — SPC Executes Tenant Migration</w:t>
            </w:r>
          </w:p>
        </w:tc>
      </w:tr>
      <w:tr>
        <w:tc>
          <w:tcPr>
            <w:vMerge w:val="continue"/>
            <w:tcBorders>
              <w:top w:val="none" w:color="FFFFFF" w:sz="0"/>
              <w:left w:val="none" w:color="FFFFFF" w:sz="0"/>
              <w:bottom w:val="none" w:color="FFFFFF" w:sz="0"/>
              <w:right w:val="none" w:color="FFFFFF" w:sz="0"/>
            </w:tcBorders>
          </w:tcPr>
          <w:p/>
        </w:tc>
        <w:tc>
          <w:tcPr>
            <w:tcW w:type="dxa" w:w="72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
            </w:r>
          </w:p>
        </w:tc>
        <w:tc>
          <w:tcPr>
            <w:tcW w:type="dxa" w:w="8640"/>
            <w:tcBorders>
              <w:top w:val="none" w:color="FFFFFF" w:sz="0"/>
              <w:left w:val="none" w:color="FFFFFF" w:sz="0"/>
              <w:bottom w:val="none" w:color="FFFFFF" w:sz="0"/>
              <w:right w:val="none" w:color="FFFFFF" w:sz="0"/>
            </w:tcBorders>
            <w:shd w:fill="FFFFFF" w:val="clear"/>
          </w:tcPr>
          <w:p>
            <w:pPr>
              <w:spacing w:after="120"/>
            </w:pPr>
            <w:r>
              <w:t xml:space="preserve">SPC processes each "Move to URM" FR:</w:t>
            </w:r>
          </w:p>
          <w:p>
            <w:pPr>
              <w:pStyle w:val="ListParagraph"/>
              <w:numPr>
                <w:ilvl w:val="0"/>
                <w:numId w:val="4"/>
              </w:numPr>
              <w:spacing w:after="80"/>
            </w:pPr>
            <w:r>
              <w:rPr>
                <w:b w:val="false"/>
                <w:bCs w:val="false"/>
              </w:rPr>
              <w:t xml:space="preserve">Creates Solution Resource in URM (same Tenant ID for re-wiring)</w:t>
            </w:r>
          </w:p>
          <w:p>
            <w:pPr>
              <w:pStyle w:val="ListParagraph"/>
              <w:numPr>
                <w:ilvl w:val="0"/>
                <w:numId w:val="4"/>
              </w:numPr>
              <w:spacing w:after="80"/>
            </w:pPr>
            <w:r>
              <w:rPr>
                <w:b w:val="false"/>
                <w:bCs w:val="false"/>
              </w:rPr>
              <w:t xml:space="preserve">Handles external integrations (UCL coordination required; BTP: same global account + subaccount reused)</w:t>
            </w:r>
          </w:p>
          <w:p>
            <w:pPr>
              <w:spacing w:after="120"/>
            </w:pPr>
            <w:r>
              <w:t xml:space="preserve">Final state in ES: Brownfield Entitlements transition to "Moved to URM". Greenfield Entitlement is in "Provided" status. Both reside in the same General ES (Type 1).</w:t>
            </w:r>
          </w:p>
        </w:tc>
      </w:tr>
    </w:tbl>
    <w:p>
      <w:pPr>
        <w:spacing w:after="160"/>
      </w:pPr>
    </w:p>
    <w:p>
      <w:pPr>
        <w:pStyle w:val="Heading2"/>
      </w:pPr>
      <w:r>
        <w:t xml:space="preserve">4.3 Type 2 — CIS-based LoB (Customer-Managed Migration)</w:t>
      </w:r>
    </w:p>
    <w:p>
      <w:pPr>
        <w:spacing w:after="60"/>
      </w:pPr>
    </w:p>
    <w:p>
      <w:pPr>
        <w:spacing w:after="120"/>
      </w:pPr>
      <w:r>
        <w:t xml:space="preserve">For CIS-based Application Groups the process is significantly simpler because no "Move to URM" FR is sent from CRM. The customer manages the sub-tenant migration directly from BTP Cockpit.</w:t>
      </w: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3000"/>
        <w:gridCol w:w="6360"/>
      </w:tblGrid>
      <w:tr>
        <w:trPr>
          <w:tblHeader/>
        </w:trPr>
        <w:tc>
          <w:tcPr>
            <w:tcW w:type="dxa" w:w="300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Step</w:t>
            </w:r>
          </w:p>
        </w:tc>
        <w:tc>
          <w:tcPr>
            <w:tcW w:type="dxa" w:w="636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1 — Initiation</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Same as SPC: Service Owner or CLFL OPS triggers "Move to URM" via Web UI or /CFF/MOVE_LOB_TO_URM report.</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2 — Validation</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Same eligibility checks as SPC model (see Section 3.2).</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3 — Open entitlements cancelled</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Open Brownfield Entitlements (never provisioned) are set to Cancelled.</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4 — Tracking table updated</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Records created in /CFF/LOB2URMTRCK. All records are immediately marked as Processed (no FR needed).</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5 — Greenfield entitlements created</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System immediately creates Greenfield Entitlements and sends Tenant Setup FRs to URM. No ES lock is applied.</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6 — Customer migrates on BTP</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Customer uses BTP Cockpit to migrate existing sub-tenants (via plan update or instance/subscription update) to the new SAP-managed provisioning.</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7 — Decommissioning</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Once all customer tenants have migrated, the provisioning team terminates Brownfield Entitlements in CRM. Both P and non-P entitlements can be removed from the FFP at that point.</w:t>
            </w:r>
          </w:p>
        </w:tc>
      </w:tr>
    </w:tbl>
    <w:p>
      <w:pPr>
        <w:pStyle w:val="Heading1"/>
      </w:pPr>
      <w:r>
        <w:t xml:space="preserve">5. Entitlement Status Lifecycle During Move to URM</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3580"/>
        <w:gridCol w:w="3580"/>
      </w:tblGrid>
      <w:tr>
        <w:trPr>
          <w:tblHeader/>
        </w:trPr>
        <w:tc>
          <w:tcPr>
            <w:tcW w:type="dxa" w:w="220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Status</w:t>
            </w:r>
          </w:p>
        </w:tc>
        <w:tc>
          <w:tcPr>
            <w:tcW w:type="dxa" w:w="358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Description</w:t>
            </w:r>
          </w:p>
        </w:tc>
        <w:tc>
          <w:tcPr>
            <w:tcW w:type="dxa" w:w="358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Trigger</w:t>
            </w:r>
          </w:p>
        </w:tc>
      </w:tr>
      <w:tr>
        <w:tc>
          <w:tcPr>
            <w:tcW w:type="dxa" w:w="22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Provided</w:t>
            </w:r>
          </w:p>
        </w:tc>
        <w:tc>
          <w:tcPr>
            <w:tcW w:type="dxa" w:w="35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Brownfield tenant is live and provisioned via SPC/CIS</w:t>
            </w:r>
          </w:p>
        </w:tc>
        <w:tc>
          <w:tcPr>
            <w:tcW w:type="dxa" w:w="35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Initial state before migration</w:t>
            </w:r>
          </w:p>
        </w:tc>
      </w:tr>
      <w:tr>
        <w:tc>
          <w:tcPr>
            <w:tcW w:type="dxa" w:w="22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Open</w:t>
            </w:r>
          </w:p>
        </w:tc>
        <w:tc>
          <w:tcPr>
            <w:tcW w:type="dxa" w:w="35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Brownfield entitlement exists but no tenant ever provisioned</w:t>
            </w:r>
          </w:p>
        </w:tc>
        <w:tc>
          <w:tcPr>
            <w:tcW w:type="dxa" w:w="35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Initial state for un-provisioned entitlements</w:t>
            </w:r>
          </w:p>
        </w:tc>
      </w:tr>
      <w:tr>
        <w:tc>
          <w:tcPr>
            <w:tcW w:type="dxa" w:w="22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Cancelled</w:t>
            </w:r>
          </w:p>
        </w:tc>
        <w:tc>
          <w:tcPr>
            <w:tcW w:type="dxa" w:w="35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Entitlement was Open — no tenant to migrate</w:t>
            </w:r>
          </w:p>
        </w:tc>
        <w:tc>
          <w:tcPr>
            <w:tcW w:type="dxa" w:w="35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Move to URM initiated on an Open entitlement</w:t>
            </w:r>
          </w:p>
        </w:tc>
      </w:tr>
      <w:tr>
        <w:tc>
          <w:tcPr>
            <w:tcW w:type="dxa" w:w="22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Move to URM In Process</w:t>
            </w:r>
          </w:p>
        </w:tc>
        <w:tc>
          <w:tcPr>
            <w:tcW w:type="dxa" w:w="35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FR 9507156 has been sent to SPC; migration in progress</w:t>
            </w:r>
          </w:p>
        </w:tc>
        <w:tc>
          <w:tcPr>
            <w:tcW w:type="dxa" w:w="35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ZF_CREATE_FR_TO_URM action executes</w:t>
            </w:r>
          </w:p>
        </w:tc>
      </w:tr>
      <w:tr>
        <w:tc>
          <w:tcPr>
            <w:tcW w:type="dxa" w:w="22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Moved to URM</w:t>
            </w:r>
          </w:p>
        </w:tc>
        <w:tc>
          <w:tcPr>
            <w:tcW w:type="dxa" w:w="35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SPC has re-wired the tenant to URM; CRM migration complete</w:t>
            </w:r>
          </w:p>
        </w:tc>
        <w:tc>
          <w:tcPr>
            <w:tcW w:type="dxa" w:w="35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SPC confirms tenant migration; "To URM" flag auto-cleared</w:t>
            </w:r>
          </w:p>
        </w:tc>
      </w:tr>
    </w:tbl>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28A745" w:sz="8"/>
              <w:left w:val="single" w:color="28A745" w:sz="8"/>
              <w:bottom w:val="single" w:color="28A745" w:sz="8"/>
              <w:right w:val="single" w:color="28A745" w:sz="8"/>
            </w:tcBorders>
            <w:shd w:fill="D4EDDA" w:val="clear"/>
          </w:tcPr>
          <w:p>
            <w:pPr>
              <w:spacing w:after="80"/>
            </w:pPr>
            <w:r>
              <w:rPr>
                <w:b/>
                <w:bCs/>
                <w:color w:val="3D3D3D"/>
                <w:sz w:val="20"/>
                <w:szCs w:val="20"/>
              </w:rPr>
              <w:t xml:space="preserve">ES Lock Behavior</w:t>
            </w:r>
          </w:p>
          <w:p>
            <w:pPr>
              <w:spacing w:after="60"/>
            </w:pPr>
            <w:r>
              <w:rPr>
                <w:color w:val="3D3D3D"/>
                <w:sz w:val="19"/>
                <w:szCs w:val="19"/>
              </w:rPr>
              <w:t xml:space="preserve">The "Auto locked due to Move to URM" status on the ES is active from STEP 3 until all Brownfield Entitlements reach "Move to URM In Process" status.</w:t>
            </w:r>
          </w:p>
          <w:p>
            <w:pPr>
              <w:spacing w:after="60"/>
            </w:pPr>
            <w:r>
              <w:rPr>
                <w:color w:val="3D3D3D"/>
                <w:sz w:val="19"/>
                <w:szCs w:val="19"/>
              </w:rPr>
              <w:t xml:space="preserve">Purpose: prevents an "Update from CA" from running while some Brownfield Entitlements are still Provided, which would incorrectly re-select the Brownfield FFP scenario.</w:t>
            </w:r>
          </w:p>
          <w:p>
            <w:pPr>
              <w:spacing w:after="60"/>
            </w:pPr>
            <w:r>
              <w:rPr>
                <w:color w:val="3D3D3D"/>
                <w:sz w:val="19"/>
                <w:szCs w:val="19"/>
              </w:rPr>
              <w:t xml:space="preserve">The lock is automatically released once the last Brownfield Entitlement is processed.</w:t>
            </w:r>
          </w:p>
        </w:tc>
      </w:tr>
    </w:tbl>
    <w:p>
      <w:pPr>
        <w:pStyle w:val="Heading1"/>
      </w:pPr>
      <w:r>
        <w:t xml:space="preserve">6. Flexible FFP Decision Logic — SPC-based Application Group</w:t>
      </w:r>
    </w:p>
    <w:p>
      <w:pPr>
        <w:spacing w:after="120"/>
      </w:pPr>
      <w:r>
        <w:t xml:space="preserve">This logic runs during every "Update from CA" on an ES with a Flexible FFP. It determines whether the system should select Brownfield (SPC/CIS) or Greenfield (URM) Fulfillment Profile items for a given Application Group.</w:t>
      </w: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3000"/>
        <w:gridCol w:w="6360"/>
      </w:tblGrid>
      <w:tr>
        <w:trPr>
          <w:tblHeader/>
        </w:trPr>
        <w:tc>
          <w:tcPr>
            <w:tcW w:type="dxa" w:w="300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Check</w:t>
            </w:r>
          </w:p>
        </w:tc>
        <w:tc>
          <w:tcPr>
            <w:tcW w:type="dxa" w:w="636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Condition / Action</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Step 1</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Is the FFP Flexible? (Does any FFP item have the Application Group field set?) — If No: apply standard non-Flexible FFP calculation. If Yes: proceed per Application Group.</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Step 2</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For the Application Group: is the URM Scenario WM (SPC) or WO (CIS)? Apply the appropriate decision path.</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SPC — Check 1</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Does the ES have at least one Provided Greenfield Entitlement? → Yes: SELECT GREENFIELD items. → No: proceed to Check 2.</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SPC — Check 2</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Does the ES have at least one Provided Brownfield Entitlement? → Yes: SELECT BROWNFIELD items. → No: proceed to Check 3.</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SPC — Check 3</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Are ALL Brownfield Entitlements scheduled for future move (Move Date in the future)? → Yes: SELECT BROWNFIELD items. → No: proceed to Check 4.</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SPC — Check 4</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Does at least one Brownfield Entitlement exist but is not Provided? → No: SELECT GREENFIELD items. → Yes: proceed to Check 5.</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SPC — Check 5</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Does at least one license with a Brownfield TPT/ZH-code have a contract with future dates? → Yes: SELECT GREENFIELD items. → No: SELECT BROWNFIELD items.</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CIS — Different logic</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CIS model may have both Greenfield and Brownfield Entitlements active simultaneously. Uses additional checks including the "Is not Brownfield" flag on FFP items to handle shared P-tenants. Refer to /CFF/C_FP_APGR URM Scenario = WO flow.</w:t>
            </w:r>
          </w:p>
        </w:tc>
      </w:tr>
    </w:tbl>
    <w:p>
      <w:pPr>
        <w:pStyle w:val="Heading1"/>
      </w:pPr>
      <w:r>
        <w:t xml:space="preserve">7. Manual Conversion Procedure (OPS Support)</w:t>
      </w:r>
    </w:p>
    <w:p>
      <w:pPr>
        <w:spacing w:after="120"/>
      </w:pPr>
      <w:r>
        <w:t xml:space="preserve">In exceptional cases where the automatic Type 1 process does not complete as expected, the CLFL Operations team can perform a manual cleanup following the steps below (based on wiki page "Manual conversion for the conversion type Conversion to subtenant aka Move to URM").</w:t>
      </w:r>
    </w:p>
    <w:p>
      <w:pPr>
        <w:spacing w:after="80"/>
      </w:pPr>
    </w:p>
    <w:p>
      <w:pPr>
        <w:pStyle w:val="ListParagraph"/>
        <w:numPr>
          <w:ilvl w:val="0"/>
          <w:numId w:val="5"/>
        </w:numPr>
        <w:spacing w:after="80"/>
      </w:pPr>
      <w:r>
        <w:rPr>
          <w:b w:val="false"/>
          <w:bCs w:val="false"/>
        </w:rPr>
        <w:t xml:space="preserve">Identify the conversion type: confirm the TPT is marked with Action M in /CFF/C_TPT_CONV.</w:t>
      </w:r>
    </w:p>
    <w:p>
      <w:pPr>
        <w:pStyle w:val="ListParagraph"/>
        <w:numPr>
          <w:ilvl w:val="0"/>
          <w:numId w:val="5"/>
        </w:numPr>
        <w:spacing w:after="80"/>
      </w:pPr>
      <w:r>
        <w:rPr>
          <w:b w:val="false"/>
          <w:bCs w:val="false"/>
        </w:rPr>
        <w:t xml:space="preserve">Verify correct Restructure booking: source SKU in ZPROD_MAP_SIG, Change Reason 71 on target PC Item, source PC terminated (09 or 74), and REPL_LOCK entry present.</w:t>
      </w:r>
    </w:p>
    <w:p>
      <w:pPr>
        <w:pStyle w:val="ListParagraph"/>
        <w:numPr>
          <w:ilvl w:val="0"/>
          <w:numId w:val="5"/>
        </w:numPr>
        <w:spacing w:after="80"/>
      </w:pPr>
      <w:r>
        <w:rPr>
          <w:b w:val="false"/>
          <w:bCs w:val="false"/>
        </w:rPr>
        <w:t xml:space="preserve">Set "Move to URM" flag on the Entitlement level via CRM Web UI or /CFF/ENT_SIMULATION (only if Restructure is booked within the SAME split criteria: End customer, BPO end customer, Sales org).</w:t>
      </w:r>
    </w:p>
    <w:p>
      <w:pPr>
        <w:pStyle w:val="ListParagraph"/>
        <w:numPr>
          <w:ilvl w:val="0"/>
          <w:numId w:val="5"/>
        </w:numPr>
        <w:spacing w:after="80"/>
      </w:pPr>
      <w:r>
        <w:rPr>
          <w:b w:val="false"/>
          <w:bCs w:val="false"/>
        </w:rPr>
        <w:t xml:space="preserve">If no specific instruction in the ticket: remove the "Auto locked due to move" additional status and press Save ES.</w:t>
      </w:r>
    </w:p>
    <w:p>
      <w:pPr>
        <w:pStyle w:val="ListParagraph"/>
        <w:numPr>
          <w:ilvl w:val="0"/>
          <w:numId w:val="5"/>
        </w:numPr>
        <w:spacing w:after="80"/>
      </w:pPr>
      <w:r>
        <w:rPr>
          <w:b w:val="false"/>
          <w:bCs w:val="false"/>
        </w:rPr>
        <w:t xml:space="preserve">Execute "Update from CA" — the last phase should be adjusted according to the CA.</w:t>
      </w:r>
    </w:p>
    <w:p>
      <w:pPr>
        <w:pStyle w:val="ListParagraph"/>
        <w:numPr>
          <w:ilvl w:val="0"/>
          <w:numId w:val="5"/>
        </w:numPr>
        <w:spacing w:after="80"/>
      </w:pPr>
      <w:r>
        <w:rPr>
          <w:b w:val="false"/>
          <w:bCs w:val="false"/>
        </w:rPr>
        <w:t xml:space="preserve">Save the changes in the source ES.</w:t>
      </w:r>
    </w:p>
    <w:p>
      <w:pPr>
        <w:spacing w:after="80"/>
      </w:pPr>
    </w:p>
    <w:p>
      <w:pPr>
        <w:spacing w:after="120"/>
      </w:pPr>
      <w:r>
        <w:t xml:space="preserve">Expected result: A Fulfillment Request with operation type "9507156 Move to URM" is scheduled on the Entitlement. It will be created on the end date of the last non-cancelled phase of the Source Entitlement + 1 day.</w:t>
      </w: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FFC107" w:sz="8"/>
              <w:left w:val="single" w:color="FFC107" w:sz="8"/>
              <w:bottom w:val="single" w:color="FFC107" w:sz="8"/>
              <w:right w:val="single" w:color="FFC107" w:sz="8"/>
            </w:tcBorders>
            <w:shd w:fill="FFF3CD" w:val="clear"/>
          </w:tcPr>
          <w:p>
            <w:pPr>
              <w:spacing w:after="80"/>
            </w:pPr>
            <w:r>
              <w:rPr>
                <w:b/>
                <w:bCs/>
                <w:color w:val="3D3D3D"/>
                <w:sz w:val="20"/>
                <w:szCs w:val="20"/>
              </w:rPr>
              <w:t xml:space="preserve">Note</w:t>
            </w:r>
          </w:p>
          <w:p>
            <w:pPr>
              <w:spacing w:after="60"/>
            </w:pPr>
            <w:r>
              <w:rPr>
                <w:color w:val="3D3D3D"/>
                <w:sz w:val="19"/>
                <w:szCs w:val="19"/>
              </w:rPr>
              <w:t xml:space="preserve">Once Entitlements are set to "Moved to URM" status, the "Move to URM" flag is automatically deleted.</w:t>
            </w:r>
          </w:p>
          <w:p>
            <w:pPr>
              <w:spacing w:after="60"/>
            </w:pPr>
            <w:r>
              <w:rPr>
                <w:color w:val="3D3D3D"/>
                <w:sz w:val="19"/>
                <w:szCs w:val="19"/>
              </w:rPr>
              <w:t xml:space="preserve">If the source PC contains EMS items — forward the ticket to the EMS team to handle their part.</w:t>
            </w:r>
          </w:p>
          <w:p>
            <w:pPr>
              <w:spacing w:after="60"/>
            </w:pPr>
            <w:r>
              <w:rPr>
                <w:color w:val="3D3D3D"/>
                <w:sz w:val="19"/>
                <w:szCs w:val="19"/>
              </w:rPr>
              <w:t xml:space="preserve">Restructure booked within DIFFERENT split criteria is NOT supported at this time.</w:t>
            </w:r>
          </w:p>
        </w:tc>
      </w:tr>
    </w:tbl>
    <w:p>
      <w:pPr>
        <w:pStyle w:val="Heading1"/>
      </w:pPr>
      <w:r>
        <w:t xml:space="preserve">8. ABAP Implementation Map</w:t>
      </w:r>
    </w:p>
    <w:p>
      <w:pPr>
        <w:spacing w:after="120"/>
      </w:pPr>
      <w:r>
        <w:t xml:space="preserve">Key objects from the /CFF/CA package and related packages involved in CA calculation and ES update during Move to URM (sourced from abap-documentor GitHub repository analysis):</w:t>
      </w: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400"/>
        <w:gridCol w:w="800"/>
        <w:gridCol w:w="2480"/>
        <w:gridCol w:w="3680"/>
      </w:tblGrid>
      <w:tr>
        <w:trPr>
          <w:tblHeader/>
        </w:trPr>
        <w:tc>
          <w:tcPr>
            <w:tcW w:type="dxa" w:w="240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ABAP Object</w:t>
            </w:r>
          </w:p>
        </w:tc>
        <w:tc>
          <w:tcPr>
            <w:tcW w:type="dxa" w:w="80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Type</w:t>
            </w:r>
          </w:p>
        </w:tc>
        <w:tc>
          <w:tcPr>
            <w:tcW w:type="dxa" w:w="248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Package Role</w:t>
            </w:r>
          </w:p>
        </w:tc>
        <w:tc>
          <w:tcPr>
            <w:tcW w:type="dxa" w:w="368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Role in Move to URM</w:t>
            </w:r>
          </w:p>
        </w:tc>
      </w:tr>
      <w:tr>
        <w:tc>
          <w:tcPr>
            <w:tcW w:type="dxa" w:w="24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/CFF/CL_CA_MERGER</w:t>
            </w:r>
          </w:p>
        </w:tc>
        <w:tc>
          <w:tcPr>
            <w:tcW w:type="dxa" w:w="80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Class</w:t>
            </w:r>
          </w:p>
        </w:tc>
        <w:tc>
          <w:tcPr>
            <w:tcW w:type="dxa" w:w="24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/CFF/CA — CA Adapter</w:t>
            </w:r>
          </w:p>
        </w:tc>
        <w:tc>
          <w:tcPr>
            <w:tcW w:type="dxa" w:w="36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Fan-out CA retrieval from all source systems (PC / VBO / CALM); merges aggregated license phases via AGGREGATE_LICENSES_RECURSIVELY</w:t>
            </w:r>
          </w:p>
        </w:tc>
      </w:tr>
      <w:tr>
        <w:tc>
          <w:tcPr>
            <w:tcW w:type="dxa" w:w="24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/CFF/CL_CA_OBJECT</w:t>
            </w:r>
          </w:p>
        </w:tc>
        <w:tc>
          <w:tcPr>
            <w:tcW w:type="dxa" w:w="80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Class</w:t>
            </w:r>
          </w:p>
        </w:tc>
        <w:tc>
          <w:tcPr>
            <w:tcW w:type="dxa" w:w="24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/CFF/CA — CA Domain</w:t>
            </w:r>
          </w:p>
        </w:tc>
        <w:tc>
          <w:tcPr>
            <w:tcW w:type="dxa" w:w="36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In-memory CA domain object; holds license phases; executes recursive overlap resolution for correct phase boundaries</w:t>
            </w:r>
          </w:p>
        </w:tc>
      </w:tr>
      <w:tr>
        <w:tc>
          <w:tcPr>
            <w:tcW w:type="dxa" w:w="24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/CFF/CL_CA_MERGER_TEMP</w:t>
            </w:r>
          </w:p>
        </w:tc>
        <w:tc>
          <w:tcPr>
            <w:tcW w:type="dxa" w:w="80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Class</w:t>
            </w:r>
          </w:p>
        </w:tc>
        <w:tc>
          <w:tcPr>
            <w:tcW w:type="dxa" w:w="24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/CFF/CA — PC Source</w:t>
            </w:r>
          </w:p>
        </w:tc>
        <w:tc>
          <w:tcPr>
            <w:tcW w:type="dxa" w:w="36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Assembles CA from Provider Contract slices; PHASE_HAS_VALID_SOURCES validates phase eligibility before FR creation</w:t>
            </w:r>
          </w:p>
        </w:tc>
      </w:tr>
      <w:tr>
        <w:tc>
          <w:tcPr>
            <w:tcW w:type="dxa" w:w="24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/CFF/IF_CA_ADAPTER</w:t>
            </w:r>
          </w:p>
        </w:tc>
        <w:tc>
          <w:tcPr>
            <w:tcW w:type="dxa" w:w="80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Interface</w:t>
            </w:r>
          </w:p>
        </w:tc>
        <w:tc>
          <w:tcPr>
            <w:tcW w:type="dxa" w:w="24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/CFF/CA — BAdI</w:t>
            </w:r>
          </w:p>
        </w:tc>
        <w:tc>
          <w:tcPr>
            <w:tcW w:type="dxa" w:w="36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BAdI contract: GET_CA_BY_ENGAGEMENT, CONFIRM_FULFILLMENT, ASSIGN_ENGAGEMENT — source-agnostic CA operations</w:t>
            </w:r>
          </w:p>
        </w:tc>
      </w:tr>
      <w:tr>
        <w:tc>
          <w:tcPr>
            <w:tcW w:type="dxa" w:w="24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/CFF/CA_ADAPTER_PROV_CONTR</w:t>
            </w:r>
          </w:p>
        </w:tc>
        <w:tc>
          <w:tcPr>
            <w:tcW w:type="dxa" w:w="80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Class</w:t>
            </w:r>
          </w:p>
        </w:tc>
        <w:tc>
          <w:tcPr>
            <w:tcW w:type="dxa" w:w="24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/CFF/CA — PC Adapter</w:t>
            </w:r>
          </w:p>
        </w:tc>
        <w:tc>
          <w:tcPr>
            <w:tcW w:type="dxa" w:w="36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PC-specific adapter (source=B); handles /CFF/C_TPT_CONV lookups for Type 1 Move to URM conversion</w:t>
            </w:r>
          </w:p>
        </w:tc>
      </w:tr>
      <w:tr>
        <w:tc>
          <w:tcPr>
            <w:tcW w:type="dxa" w:w="24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/CFF/CA_FULFILLMENT_CONFIRM</w:t>
            </w:r>
          </w:p>
        </w:tc>
        <w:tc>
          <w:tcPr>
            <w:tcW w:type="dxa" w:w="80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FM (qRFC)</w:t>
            </w:r>
          </w:p>
        </w:tc>
        <w:tc>
          <w:tcPr>
            <w:tcW w:type="dxa" w:w="24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/CFF/CA — Update</w:t>
            </w:r>
          </w:p>
        </w:tc>
        <w:tc>
          <w:tcPr>
            <w:tcW w:type="dxa" w:w="36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Writes fulfillment timestamp back to PC after "Move to URM" FR is processed; closes the O2C loop</w:t>
            </w:r>
          </w:p>
        </w:tc>
      </w:tr>
      <w:tr>
        <w:tc>
          <w:tcPr>
            <w:tcW w:type="dxa" w:w="24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/CFF/CA_ASSIGN_ENGAGEMENT</w:t>
            </w:r>
          </w:p>
        </w:tc>
        <w:tc>
          <w:tcPr>
            <w:tcW w:type="dxa" w:w="80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FM (qRFC)</w:t>
            </w:r>
          </w:p>
        </w:tc>
        <w:tc>
          <w:tcPr>
            <w:tcW w:type="dxa" w:w="24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/CFF/CA — Update</w:t>
            </w:r>
          </w:p>
        </w:tc>
        <w:tc>
          <w:tcPr>
            <w:tcW w:type="dxa" w:w="36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Links Engagement to CA document in source system; runs async</w:t>
            </w:r>
          </w:p>
        </w:tc>
      </w:tr>
      <w:tr>
        <w:tc>
          <w:tcPr>
            <w:tcW w:type="dxa" w:w="24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ZF_CREATE_FR_TO_URM</w:t>
            </w:r>
          </w:p>
        </w:tc>
        <w:tc>
          <w:tcPr>
            <w:tcW w:type="dxa" w:w="80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Scheduled Action</w:t>
            </w:r>
          </w:p>
        </w:tc>
        <w:tc>
          <w:tcPr>
            <w:tcW w:type="dxa" w:w="24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/CFF/FR — Actions</w:t>
            </w:r>
          </w:p>
        </w:tc>
        <w:tc>
          <w:tcPr>
            <w:tcW w:type="dxa" w:w="36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Creates FR 9507156 per provisioned Brownfield Entitlement; updates tracking table record to Processed</w:t>
            </w:r>
          </w:p>
        </w:tc>
      </w:tr>
      <w:tr>
        <w:tc>
          <w:tcPr>
            <w:tcW w:type="dxa" w:w="24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/CFF/MOVE_LOB_TO_URM</w:t>
            </w:r>
          </w:p>
        </w:tc>
        <w:tc>
          <w:tcPr>
            <w:tcW w:type="dxa" w:w="80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Report</w:t>
            </w:r>
          </w:p>
        </w:tc>
        <w:tc>
          <w:tcPr>
            <w:tcW w:type="dxa" w:w="24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/CFF/ES — Ops</w:t>
            </w:r>
          </w:p>
        </w:tc>
        <w:tc>
          <w:tcPr>
            <w:tcW w:type="dxa" w:w="36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Backend entry point for manual Type 2 trigger; performs same logic as Web UI button</w:t>
            </w:r>
          </w:p>
        </w:tc>
      </w:tr>
    </w:tbl>
    <w:p>
      <w:pPr>
        <w:spacing w:after="120"/>
      </w:pPr>
    </w:p>
    <w:p>
      <w:pPr>
        <w:pStyle w:val="Heading2"/>
      </w:pPr>
      <w:r>
        <w:t xml:space="preserve">8.1 Key Customizing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3580"/>
        <w:gridCol w:w="3580"/>
      </w:tblGrid>
      <w:tr>
        <w:trPr>
          <w:tblHeader/>
        </w:trPr>
        <w:tc>
          <w:tcPr>
            <w:tcW w:type="dxa" w:w="220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Table / View</w:t>
            </w:r>
          </w:p>
        </w:tc>
        <w:tc>
          <w:tcPr>
            <w:tcW w:type="dxa" w:w="358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Purpose</w:t>
            </w:r>
          </w:p>
        </w:tc>
        <w:tc>
          <w:tcPr>
            <w:tcW w:type="dxa" w:w="358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Impact on Move to URM</w:t>
            </w:r>
          </w:p>
        </w:tc>
      </w:tr>
      <w:tr>
        <w:tc>
          <w:tcPr>
            <w:tcW w:type="dxa" w:w="22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/CFF/C_TPT_CONV (View: /CFF/V_TPT_CONV)</w:t>
            </w:r>
          </w:p>
        </w:tc>
        <w:tc>
          <w:tcPr>
            <w:tcW w:type="dxa" w:w="35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TPT Conversion mapping — links source/target TPTs by conversion type</w:t>
            </w:r>
          </w:p>
        </w:tc>
        <w:tc>
          <w:tcPr>
            <w:tcW w:type="dxa" w:w="35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Type 1: conversion type M identifies Move to URM pairs; determines which Greenfield TPT to use</w:t>
            </w:r>
          </w:p>
        </w:tc>
      </w:tr>
      <w:tr>
        <w:tc>
          <w:tcPr>
            <w:tcW w:type="dxa" w:w="22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/CFF/C_FP_APGR (View: /CFF/V_FP_APGR)</w:t>
            </w:r>
          </w:p>
        </w:tc>
        <w:tc>
          <w:tcPr>
            <w:tcW w:type="dxa" w:w="35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Application Group customizing — URM Scenario, Controlled Availability flag</w:t>
            </w:r>
          </w:p>
        </w:tc>
        <w:tc>
          <w:tcPr>
            <w:tcW w:type="dxa" w:w="35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Determines WM (SPC) vs WO (CIS) flow; controls whether Controlled Availability checks are applied</w:t>
            </w:r>
          </w:p>
        </w:tc>
      </w:tr>
      <w:tr>
        <w:tc>
          <w:tcPr>
            <w:tcW w:type="dxa" w:w="22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/CFF/FL_CONTR_AV (View: /CFF/FL_CONTR_V)</w:t>
            </w:r>
          </w:p>
        </w:tc>
        <w:tc>
          <w:tcPr>
            <w:tcW w:type="dxa" w:w="35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Controlled Availability by Customer ID — approved customer list per App Group</w:t>
            </w:r>
          </w:p>
        </w:tc>
        <w:tc>
          <w:tcPr>
            <w:tcW w:type="dxa" w:w="35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Move to URM blocked for customers not on this list when ConAvailab flag is enabled</w:t>
            </w:r>
          </w:p>
        </w:tc>
      </w:tr>
      <w:tr>
        <w:tc>
          <w:tcPr>
            <w:tcW w:type="dxa" w:w="22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/CFF/ENTL_PRIOR (View: /CFF/V_ENT_PRIOR)</w:t>
            </w:r>
          </w:p>
        </w:tc>
        <w:tc>
          <w:tcPr>
            <w:tcW w:type="dxa" w:w="35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Entitlement status priority config — FOR_MOVE_TO_URM and PROVIDED flags</w:t>
            </w:r>
          </w:p>
        </w:tc>
        <w:tc>
          <w:tcPr>
            <w:tcW w:type="dxa" w:w="35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Determines which statuses are eligible for migration and which are considered "Provided"</w:t>
            </w:r>
          </w:p>
        </w:tc>
      </w:tr>
      <w:tr>
        <w:tc>
          <w:tcPr>
            <w:tcW w:type="dxa" w:w="22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/CFF/LOB2URMTRCK</w:t>
            </w:r>
          </w:p>
        </w:tc>
        <w:tc>
          <w:tcPr>
            <w:tcW w:type="dxa" w:w="35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Move to URM tracking — per Brownfield Entitlement migration record</w:t>
            </w:r>
          </w:p>
        </w:tc>
        <w:tc>
          <w:tcPr>
            <w:tcW w:type="dxa" w:w="35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Created at process start; PROCESSED flag set when FR is sent (or immediately for CIS/Open)</w:t>
            </w:r>
          </w:p>
        </w:tc>
      </w:tr>
      <w:tr>
        <w:tc>
          <w:tcPr>
            <w:tcW w:type="dxa" w:w="22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/CFF/REPL_LOCK</w:t>
            </w:r>
          </w:p>
        </w:tc>
        <w:tc>
          <w:tcPr>
            <w:tcW w:type="dxa" w:w="35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Replacement lock — active move/merge lock per ES</w:t>
            </w:r>
          </w:p>
        </w:tc>
        <w:tc>
          <w:tcPr>
            <w:tcW w:type="dxa" w:w="35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Migration is blocked if ES GUID appears in SOURCE_ES or TARGET_ES fields</w:t>
            </w:r>
          </w:p>
        </w:tc>
      </w:tr>
      <w:tr>
        <w:tc>
          <w:tcPr>
            <w:tcW w:type="dxa" w:w="22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ZPROD_MAP_SIG</w:t>
            </w:r>
          </w:p>
        </w:tc>
        <w:tc>
          <w:tcPr>
            <w:tcW w:type="dxa" w:w="35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SKU conversion mapping — source/target product mapping</w:t>
            </w:r>
          </w:p>
        </w:tc>
        <w:tc>
          <w:tcPr>
            <w:tcW w:type="dxa" w:w="35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Type 1: both source and target SKUs must be in this table</w:t>
            </w:r>
          </w:p>
        </w:tc>
      </w:tr>
    </w:tbl>
    <w:p>
      <w:pPr>
        <w:pStyle w:val="Heading1"/>
      </w:pPr>
      <w:r>
        <w:t xml:space="preserve">9. Planned Changes and Known Issues (TO-BE)</w:t>
      </w:r>
    </w:p>
    <w:p>
      <w:pPr>
        <w:spacing w:after="120"/>
      </w:pPr>
      <w:r>
        <w:t xml:space="preserve">The following changes are planned or in progress based on Jira ticket references embedded in the CLFL Wiki pages. Direct Jira access was not available during document preparation (SAP Conditional Access); ticket details are derived from wiki content.</w:t>
      </w: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600"/>
        <w:gridCol w:w="2400"/>
        <w:gridCol w:w="2480"/>
        <w:gridCol w:w="2880"/>
      </w:tblGrid>
      <w:tr>
        <w:trPr>
          <w:tblHeader/>
        </w:trPr>
        <w:tc>
          <w:tcPr>
            <w:tcW w:type="dxa" w:w="160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Ticket</w:t>
            </w:r>
          </w:p>
        </w:tc>
        <w:tc>
          <w:tcPr>
            <w:tcW w:type="dxa" w:w="240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Title</w:t>
            </w:r>
          </w:p>
        </w:tc>
        <w:tc>
          <w:tcPr>
            <w:tcW w:type="dxa" w:w="248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Scope</w:t>
            </w:r>
          </w:p>
        </w:tc>
        <w:tc>
          <w:tcPr>
            <w:tcW w:type="dxa" w:w="288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ITSCLFL-15364</w:t>
            </w:r>
          </w:p>
        </w:tc>
        <w:tc>
          <w:tcPr>
            <w:tcW w:type="dxa" w:w="240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2 App Groups with same Greenfield TPT</w:t>
            </w:r>
          </w:p>
        </w:tc>
        <w:tc>
          <w:tcPr>
            <w:tcW w:type="dxa" w:w="24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Type 2 — Flexible FFP</w:t>
            </w:r>
          </w:p>
        </w:tc>
        <w:tc>
          <w:tcPr>
            <w:tcW w:type="dxa" w:w="28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When two Application Groups share the same Greenfield TPT/ZH-code, they should converge to a single parent URM tenant. Currently each App Group creates its own Greenfield Entitlement, which would create duplicate parent tenants.</w:t>
            </w:r>
          </w:p>
        </w:tc>
      </w:tr>
      <w:tr>
        <w:tc>
          <w:tcPr>
            <w:tcW w:type="dxa" w:w="16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ITSCLFL-15200</w:t>
            </w:r>
          </w:p>
        </w:tc>
        <w:tc>
          <w:tcPr>
            <w:tcW w:type="dxa" w:w="240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OPS report bug fix</w:t>
            </w:r>
          </w:p>
        </w:tc>
        <w:tc>
          <w:tcPr>
            <w:tcW w:type="dxa" w:w="24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Type 2 — OPS tooling</w:t>
            </w:r>
          </w:p>
        </w:tc>
        <w:tc>
          <w:tcPr>
            <w:tcW w:type="dxa" w:w="28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Bug fix for the backend OPS report /CFF/MOVE_LOB_TO_URM used as an alternative to the Web UI button.</w:t>
            </w:r>
          </w:p>
        </w:tc>
      </w:tr>
      <w:tr>
        <w:tc>
          <w:tcPr>
            <w:tcW w:type="dxa" w:w="16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ARTFS-640</w:t>
            </w:r>
          </w:p>
        </w:tc>
        <w:tc>
          <w:tcPr>
            <w:tcW w:type="dxa" w:w="240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Move CALM and CALT to URM</w:t>
            </w:r>
          </w:p>
        </w:tc>
        <w:tc>
          <w:tcPr>
            <w:tcW w:type="dxa" w:w="24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Type 1 extension</w:t>
            </w:r>
          </w:p>
        </w:tc>
        <w:tc>
          <w:tcPr>
            <w:tcW w:type="dxa" w:w="288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Extends Move to URM support to CALM-sourced entitlements (Cloud ALM contracts). Requires /CFF/CL_CA_ADAPTER_CALM to support FR 9507156 generation.</w:t>
            </w:r>
          </w:p>
        </w:tc>
      </w:tr>
      <w:tr>
        <w:tc>
          <w:tcPr>
            <w:tcW w:type="dxa" w:w="16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ARTFS-416 / 460 / 491</w:t>
            </w:r>
          </w:p>
        </w:tc>
        <w:tc>
          <w:tcPr>
            <w:tcW w:type="dxa" w:w="240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Follow-up Flexible FFP scenarios</w:t>
            </w:r>
          </w:p>
        </w:tc>
        <w:tc>
          <w:tcPr>
            <w:tcW w:type="dxa" w:w="24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Type 2 extension</w:t>
            </w:r>
          </w:p>
        </w:tc>
        <w:tc>
          <w:tcPr>
            <w:tcW w:type="dxa" w:w="288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Additional Application Group scenarios for Flexible FFP. Planned for PI25/4.</w:t>
            </w:r>
          </w:p>
        </w:tc>
      </w:tr>
    </w:tbl>
    <w:p>
      <w:pPr>
        <w:pStyle w:val="Heading1"/>
      </w:pPr>
      <w:r>
        <w:t xml:space="preserve">10. 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3000"/>
        <w:gridCol w:w="6360"/>
      </w:tblGrid>
      <w:tr>
        <w:trPr>
          <w:tblHeader/>
        </w:trPr>
        <w:tc>
          <w:tcPr>
            <w:tcW w:type="dxa" w:w="300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Source</w:t>
            </w:r>
          </w:p>
        </w:tc>
        <w:tc>
          <w:tcPr>
            <w:tcW w:type="dxa" w:w="6360"/>
            <w:tcBorders>
              <w:top w:val="single" w:color="003B5C" w:sz="4"/>
              <w:left w:val="single" w:color="003B5C" w:sz="4"/>
              <w:bottom w:val="single" w:color="003B5C" w:sz="4"/>
              <w:right w:val="single" w:color="003B5C" w:sz="4"/>
            </w:tcBorders>
            <w:shd w:fill="D5E3EE" w:val="clear"/>
            <w:vAlign w:val="center"/>
          </w:tcPr>
          <w:p>
            <w:pPr>
              <w:spacing w:after="60" w:before="60"/>
              <w:jc w:val="left"/>
            </w:pPr>
            <w:r>
              <w:rPr>
                <w:b/>
                <w:bCs/>
                <w:color w:val="003B5C"/>
                <w:sz w:val="20"/>
                <w:szCs w:val="20"/>
              </w:rPr>
              <w:t xml:space="preserve">URL / Reference</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Move to URM Provisioning (main wiki page)</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https://wiki.one.int.sap/wiki/spaces/CLFL/pages/5621522943</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Mixed Fulfillment Models / Flexible FFP</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https://wiki.one.int.sap/wiki/spaces/CLFL/pages/5648579143</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Manual Conversion Procedure</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https://wiki.one.int.sap/wiki/spaces/CLFL/pages/5552053715</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CA Package ABAP Analysis (abap-documentor)</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https://github.tools.sap/C5403764/abap-documentor/blob/main/docs/ai-analysis-res/29-05-2025%20(CA%20pkg)/target-Combined-Analysis.md</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Fulfillment Functional Overview (abap-documentor)</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https://github.tools.sap/C5403764/abap-documentor/blob/main/.claude/project-context/Fulfillment-Functional-Overview.md</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Jira: ITSCLFL-15200</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https://jira.tools.sap/browse/ITSCLFL-15200</w:t>
            </w:r>
          </w:p>
        </w:tc>
      </w:tr>
      <w:tr>
        <w:tc>
          <w:tcPr>
            <w:tcW w:type="dxa" w:w="3000"/>
            <w:tcBorders>
              <w:top w:val="single" w:color="CCCCCC" w:sz="4"/>
              <w:left w:val="single" w:color="CCCCCC" w:sz="4"/>
              <w:bottom w:val="single" w:color="CCCCCC" w:sz="4"/>
              <w:right w:val="single" w:color="CCCCCC" w:sz="4"/>
            </w:tcBorders>
            <w:shd w:fill="FFFFFF" w:val="clear"/>
            <w:vAlign w:val="top"/>
          </w:tcPr>
          <w:p>
            <w:pPr>
              <w:spacing w:after="60" w:before="60"/>
            </w:pPr>
            <w:r>
              <w:rPr>
                <w:b/>
                <w:bCs/>
                <w:color w:val="3D3D3D"/>
                <w:sz w:val="19"/>
                <w:szCs w:val="19"/>
              </w:rPr>
              <w:t xml:space="preserve">Jira: ITSCLFL-15364</w:t>
            </w:r>
          </w:p>
        </w:tc>
        <w:tc>
          <w:tcPr>
            <w:tcW w:type="dxa" w:w="6360"/>
            <w:tcBorders>
              <w:top w:val="single" w:color="CCCCCC" w:sz="4"/>
              <w:left w:val="single" w:color="CCCCCC" w:sz="4"/>
              <w:bottom w:val="single" w:color="CCCCCC" w:sz="4"/>
              <w:right w:val="single" w:color="CCCCCC" w:sz="4"/>
            </w:tcBorders>
            <w:shd w:fill="FFFFFF" w:val="clear"/>
            <w:vAlign w:val="top"/>
          </w:tcPr>
          <w:p>
            <w:pPr>
              <w:spacing w:after="60" w:before="60"/>
            </w:pPr>
            <w:r>
              <w:rPr>
                <w:b w:val="false"/>
                <w:bCs w:val="false"/>
                <w:color w:val="3D3D3D"/>
                <w:sz w:val="19"/>
                <w:szCs w:val="19"/>
              </w:rPr>
              <w:t xml:space="preserve">https://jira.tools.sap/browse/ITSCLFL-15364</w:t>
            </w:r>
          </w:p>
        </w:tc>
      </w:tr>
      <w:tr>
        <w:tc>
          <w:tcPr>
            <w:tcW w:type="dxa" w:w="3000"/>
            <w:tcBorders>
              <w:top w:val="single" w:color="CCCCCC" w:sz="4"/>
              <w:left w:val="single" w:color="CCCCCC" w:sz="4"/>
              <w:bottom w:val="single" w:color="CCCCCC" w:sz="4"/>
              <w:right w:val="single" w:color="CCCCCC" w:sz="4"/>
            </w:tcBorders>
            <w:shd w:fill="F0F4F8" w:val="clear"/>
            <w:vAlign w:val="top"/>
          </w:tcPr>
          <w:p>
            <w:pPr>
              <w:spacing w:after="60" w:before="60"/>
            </w:pPr>
            <w:r>
              <w:rPr>
                <w:b/>
                <w:bCs/>
                <w:color w:val="3D3D3D"/>
                <w:sz w:val="19"/>
                <w:szCs w:val="19"/>
              </w:rPr>
              <w:t xml:space="preserve">Jira full query (open in Edge)</w:t>
            </w:r>
          </w:p>
        </w:tc>
        <w:tc>
          <w:tcPr>
            <w:tcW w:type="dxa" w:w="6360"/>
            <w:tcBorders>
              <w:top w:val="single" w:color="CCCCCC" w:sz="4"/>
              <w:left w:val="single" w:color="CCCCCC" w:sz="4"/>
              <w:bottom w:val="single" w:color="CCCCCC" w:sz="4"/>
              <w:right w:val="single" w:color="CCCCCC" w:sz="4"/>
            </w:tcBorders>
            <w:shd w:fill="F0F4F8" w:val="clear"/>
            <w:vAlign w:val="top"/>
          </w:tcPr>
          <w:p>
            <w:pPr>
              <w:spacing w:after="60" w:before="60"/>
            </w:pPr>
            <w:r>
              <w:rPr>
                <w:b w:val="false"/>
                <w:bCs w:val="false"/>
                <w:color w:val="3D3D3D"/>
                <w:sz w:val="19"/>
                <w:szCs w:val="19"/>
              </w:rPr>
              <w:t xml:space="preserve">https://jira.tools.sap/issues/?jql=project%3DITSCLFL%20AND%20text%20~%20%22Move%20to%20URM%22%20ORDER%20BY%20updated%20DESC</w:t>
            </w:r>
          </w:p>
        </w:tc>
      </w:tr>
    </w:tbl>
    <w:p>
      <w:pPr>
        <w:spacing w:after="160"/>
      </w:pPr>
    </w:p>
    <w:p>
      <w:pPr>
        <w:spacing w:after="0" w:before="200"/>
        <w:jc w:val="center"/>
      </w:pPr>
      <w:r>
        <w:rPr>
          <w:i/>
          <w:iCs/>
          <w:color w:val="6B6B6B"/>
          <w:sz w:val="18"/>
          <w:szCs w:val="18"/>
        </w:rPr>
        <w:t xml:space="preserve">— End of Document —</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B5C" w:sz="4"/>
      </w:pBdr>
      <w:jc w:val="center"/>
    </w:pPr>
    <w:r>
      <w:rPr>
        <w:color w:val="6B6B6B"/>
        <w:sz w:val="17"/>
        <w:szCs w:val="17"/>
      </w:rPr>
      <w:t xml:space="preserve">Page </w:t>
    </w:r>
    <w:r>
      <w:rPr>
        <w:color w:val="6B6B6B"/>
        <w:sz w:val="17"/>
        <w:szCs w:val="17"/>
      </w:rPr>
      <w:fldChar w:fldCharType="begin"/>
      <w:instrText xml:space="preserve">PAGE</w:instrText>
      <w:fldChar w:fldCharType="separate"/>
      <w:fldChar w:fldCharType="end"/>
    </w:r>
    <w:r>
      <w:rPr>
        <w:color w:val="6B6B6B"/>
        <w:sz w:val="17"/>
        <w:szCs w:val="17"/>
      </w:rPr>
      <w:t xml:space="preserve"> of </w:t>
    </w:r>
    <w:r>
      <w:rPr>
        <w:color w:val="6B6B6B"/>
        <w:sz w:val="17"/>
        <w:szCs w:val="17"/>
      </w:rPr>
      <w:fldChar w:fldCharType="begin"/>
      <w:instrText xml:space="preserve">NUMPAGES</w:instrText>
      <w:fldChar w:fldCharType="separate"/>
      <w:fldChar w:fldCharType="end"/>
    </w:r>
    <w:r>
      <w:rPr>
        <w:color w:val="6B6B6B"/>
        <w:sz w:val="17"/>
        <w:szCs w:val="17"/>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B5C" w:sz="6"/>
      </w:pBdr>
      <w:spacing w:after="0"/>
      <w:jc w:val="right"/>
    </w:pPr>
    <w:r>
      <w:rPr>
        <w:color w:val="6B6B6B"/>
        <w:sz w:val="17"/>
        <w:szCs w:val="17"/>
      </w:rPr>
      <w:t xml:space="preserve">CLFL Fulfillment Solutions  |  </w:t>
    </w:r>
    <w:r>
      <w:rPr>
        <w:color w:val="6B6B6B"/>
        <w:sz w:val="17"/>
        <w:szCs w:val="17"/>
      </w:rPr>
      <w:t xml:space="preserve">Move to URM — Process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abstractNum w:abstractNumId="8" w15:restartNumberingAfterBreak="0">
    <w:multiLevelType w:val="hybridMultilevel"/>
    <w:lvl w:ilvl="0" w15:tentative="1">
      <w:start w:val="1"/>
      <w:numFmt w:val="lowerLetter"/>
      <w:lvlText w:val="%1."/>
      <w:lvlJc w:val="left"/>
      <w:pPr>
        <w:ind w:left="72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before="0"/>
      <w:jc w:val="left"/>
    </w:pPr>
    <w:rPr>
      <w:rFonts w:ascii="Arial" w:cs="Arial" w:eastAsia="Arial" w:hAnsi="Arial"/>
      <w:b/>
      <w:bCs/>
      <w:color w:val="003B5C"/>
      <w:sz w:val="52"/>
      <w:szCs w:val="52"/>
    </w:rPr>
  </w:style>
  <w:style w:type="paragraph" w:styleId="Heading1">
    <w:name w:val="Heading 1"/>
    <w:basedOn w:val="Normal"/>
    <w:next w:val="Normal"/>
    <w:qFormat/>
    <w:pPr>
      <w:spacing w:after="160" w:before="320"/>
      <w:outlineLvl w:val="0"/>
    </w:pPr>
    <w:rPr>
      <w:rFonts w:ascii="Arial" w:cs="Arial" w:eastAsia="Arial" w:hAnsi="Arial"/>
      <w:b/>
      <w:bCs/>
      <w:color w:val="003B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70F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D3D3D"/>
      <w:sz w:val="22"/>
      <w:szCs w:val="22"/>
    </w:rPr>
  </w:style>
  <w:style w:type="paragraph" w:styleId="Caption">
    <w:name w:val="Caption"/>
    <w:basedOn w:val="Normal"/>
    <w:pPr>
      <w:spacing w:after="120" w:before="60"/>
      <w:jc w:val="center"/>
    </w:pPr>
    <w:rPr>
      <w:i/>
      <w:iCs/>
      <w:color w:val="6B6B6B"/>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2026-06-12T14:39:57.004Z</dcterms:created>
  <dcterms:modified xsi:type="dcterms:W3CDTF">2026-06-12T14:39:57.004Z</dcterms:modified>
</cp:coreProperties>
</file>

<file path=docProps/custom.xml><?xml version="1.0" encoding="utf-8"?>
<Properties xmlns="http://schemas.openxmlformats.org/officeDocument/2006/custom-properties" xmlns:vt="http://schemas.openxmlformats.org/officeDocument/2006/docPropsVTypes"/>
</file>