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Table 2. Descriptive Statistics</w:t>
      </w:r>
    </w:p>
    <w:p>
      <w:r>
        <w:rPr>
          <w:i/>
          <w:sz w:val="18"/>
        </w:rPr>
        <w:t>Pooled across analysis years (2017–2019, 2021–2025). Means, standard deviations, and percentiles are survey-weighted (household weights).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</w:rPr>
              <w:t>Mean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</w:rPr>
              <w:t>SD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</w:rPr>
              <w:t>p25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</w:rPr>
              <w:t>p75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  <w:i/>
              </w:rPr>
              <w:t>A. Outcome variables</w:t>
            </w:r>
          </w:p>
        </w:tc>
      </w:tr>
      <w:tr>
        <w:tc>
          <w:tcPr>
            <w:tcW w:type="dxa" w:w="1728"/>
          </w:tcPr>
          <w:p>
            <w:r/>
            <w:r>
              <w:t xml:space="preserve">  At-risk-of-poverty (vhPobreza)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0.201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0.401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0.000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0.000</w:t>
            </w:r>
          </w:p>
        </w:tc>
      </w:tr>
      <w:tr>
        <w:tc>
          <w:tcPr>
            <w:tcW w:type="dxa" w:w="1728"/>
          </w:tcPr>
          <w:p>
            <w:r/>
            <w:r>
              <w:t xml:space="preserve">  Severe material deprivation (vhMATDEP)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0.067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0.251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0.000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0.000</w:t>
            </w:r>
          </w:p>
        </w:tc>
      </w:tr>
      <w:tr>
        <w:tc>
          <w:tcPr>
            <w:tcW w:type="dxa" w:w="1728"/>
          </w:tcPr>
          <w:p>
            <w:r/>
            <w:r>
              <w:t xml:space="preserve">  Poverty gap (FGT1)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0.071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0.189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0.000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0.000</w:t>
            </w:r>
          </w:p>
        </w:tc>
      </w:tr>
      <w:tr>
        <w:tc>
          <w:tcPr>
            <w:tcW w:type="dxa" w:w="1728"/>
          </w:tcPr>
          <w:p>
            <w:r/>
            <w:r>
              <w:t xml:space="preserve">  Poverty gap squared (FGT2)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0.041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0.147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0.000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0.000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  <w:i/>
              </w:rPr>
              <w:t>B. Treatment / exposure</w:t>
            </w:r>
          </w:p>
        </w:tc>
      </w:tr>
      <w:tr>
        <w:tc>
          <w:tcPr>
            <w:tcW w:type="dxa" w:w="1728"/>
          </w:tcPr>
          <w:p>
            <w:r/>
            <w:r>
              <w:t xml:space="preserve">  Exposure index (EUROMOD-simulated)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0.651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0.791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0.151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1.373</w:t>
            </w:r>
          </w:p>
        </w:tc>
      </w:tr>
      <w:tr>
        <w:tc>
          <w:tcPr>
            <w:tcW w:type="dxa" w:w="1728"/>
          </w:tcPr>
          <w:p>
            <w:r/>
            <w:r>
              <w:t xml:space="preserve">  RMI expenditure per capita (admin.)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-0.713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0.808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-0.538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-0.435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  <w:i/>
              </w:rPr>
              <w:t>C. Control</w:t>
            </w:r>
          </w:p>
        </w:tc>
      </w:tr>
      <w:tr>
        <w:tc>
          <w:tcPr>
            <w:tcW w:type="dxa" w:w="1728"/>
          </w:tcPr>
          <w:p>
            <w:r/>
            <w:r>
              <w:t xml:space="preserve">  Household size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2.487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1.298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1.000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3.000</w:t>
            </w:r>
          </w:p>
        </w:tc>
      </w:tr>
    </w:tbl>
    <w:p>
      <w:r>
        <w:rPr>
          <w:i/>
          <w:sz w:val="16"/>
        </w:rPr>
        <w:t>Notes: vhPobreza and vhMATDEP are binary indicators; their means are weighted prevalence rates. Poverty gap (FGT1) and its square (FGT2) are computed relative to a year-specific poverty line set at 40% of the person-weighted median equivalised income. The EUROMOD-based exposure index is the simulated gain in minimum income protection (IMV minus pre-reform RMI entitlement); RMI expenditure per capita is from administrative reports. Household size is the only model covariate. Source: ECV (INE) microdata and Ministerio de Derechos Sociales RMI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