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5372100</wp:posOffset>
                </wp:positionH>
                <wp:positionV relativeFrom="paragraph">
                  <wp:posOffset>1424818</wp:posOffset>
                </wp:positionV>
                <wp:extent cx="933450" cy="8001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0000076293945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80"/>
                                <w:vertAlign w:val="baseline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5372100</wp:posOffset>
                </wp:positionH>
                <wp:positionV relativeFrom="paragraph">
                  <wp:posOffset>1424818</wp:posOffset>
                </wp:positionV>
                <wp:extent cx="933450" cy="8001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pPr w:leftFromText="180" w:rightFromText="180" w:topFromText="0" w:bottomFromText="0" w:vertAnchor="page" w:horzAnchor="margin" w:tblpXSpec="center" w:tblpY="1035"/>
        <w:tblW w:w="104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41"/>
        <w:gridCol w:w="6849"/>
        <w:tblGridChange w:id="0">
          <w:tblGrid>
            <w:gridCol w:w="3641"/>
            <w:gridCol w:w="6849"/>
          </w:tblGrid>
        </w:tblGridChange>
      </w:tblGrid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206094" cy="959173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0" w:val="nil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03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6"/>
                <w:szCs w:val="36"/>
                <w:rtl w:val="0"/>
              </w:rPr>
              <w:t xml:space="preserve">FACULTY OF SCIENCE AND HUMANITIES</w:t>
            </w:r>
          </w:p>
          <w:p w:rsidR="00000000" w:rsidDel="00000000" w:rsidP="00000000" w:rsidRDefault="00000000" w:rsidRPr="00000000" w14:paraId="00000004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6"/>
                <w:szCs w:val="36"/>
                <w:rtl w:val="0"/>
              </w:rPr>
              <w:t xml:space="preserve">DEPARTMENT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LANGUAGE, CULTURE AND SOCIETY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margin" w:tblpX="-714" w:tblpY="3376"/>
        <w:tblW w:w="10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792"/>
        <w:gridCol w:w="3523"/>
        <w:gridCol w:w="1925"/>
        <w:gridCol w:w="3245"/>
        <w:tblGridChange w:id="0">
          <w:tblGrid>
            <w:gridCol w:w="1792"/>
            <w:gridCol w:w="3523"/>
            <w:gridCol w:w="1925"/>
            <w:gridCol w:w="3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:___________________________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 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Application No.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:___________________________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16/05/2026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 50</w:t>
            </w:r>
            <m:oMath>
              <m:r>
                <m:t>×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1=50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6" w:lineRule="auto"/>
              <w:ind w:left="-536" w:firstLine="568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Instructions to Candidates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This question paper consists of Multiple-Choice Questions (MCQs) only.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Each question has four options (a, b, c, and d), out of which only one option is correct.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Each correct answer carries one mark. There is no negative marking for incorrect answers.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Candidates must mark their answers only on the OMR sheet provided.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The use of calculators, mobile phones, smartwatches, or any electronic devices is strictly prohibited inside the examination hall.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Reference materials, notes, books, or any printed resources are not permitted during the examination.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Use only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black or blue ballpoint pen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to mark the answers on the OMR sheet.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Rough work should be done only in the space provided in the question paper booklet.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Before starting the examination, ensure that all required details (Name, Application Number, etc.) are correctly filled in on the OMR sheet.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Do not fold, damage, or mark the OMR sheet unnecessarily, as it will be scanned for evaluation.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1365"/>
              </w:tabs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Research Methodology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-709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(25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1=25)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research hypothesis?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proven theory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tentative statement to be tested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research conclusion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data collection tool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tool is commonly used to measure attitudes?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Histogram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 chart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Regression model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Likert scale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sampling method gives every individual an equal chance of selection?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Purposive sampling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Snowball sampling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 sampling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Convenience sampling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best reflects the concept of reliability in research?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Accuracy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Consistency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Validity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Objectivity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research approach involves formulating hypotheses based on existing theory and subsequently testing them through empirical data?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Inductive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Exploratory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Descriptive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Deductive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standard research ethics, plagiarism refers to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Presenting another’s work or ideas without proper acknowledgement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secondary sources excessively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Paraphrasing without changing words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Citing too many sources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MLA 9, URLs in Works Cited entries are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 omitted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Mandatory for all sources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Included when they help locate the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Replaced by DOIs only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an example of secondary research?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unpublished manuscript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novel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peer-reviewed journal article on the novel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archival letter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humanities research, intertextuality refers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Statistical correlation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Text–text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experimentation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Survey sampling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research approach is most suitable for studying themes of identity in postcolonial novels?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Experimental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Quantitative survey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Bibliometric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Qualitative interpretive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component of a research proposal?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questions or hypotheses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Theoretical framework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list of family members of the author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Methodology and expected outcomes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English language research,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discourse analysis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mainly used to study: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Only spelling mistakes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Lexical frequency tables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language functions in social and cultural contexts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Rhyme schemes in poetry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significance of the study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a research report explains: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cost of buying all books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the research problem is important and what new contribution it offers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libraries were visited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personal likes of the researcher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research design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primarily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descriptive rather than experimental?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experimental design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Quasi-experimental design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study or textual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Double-blind controlled trial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English literature research,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interpretation refers to: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beautifully the thesis is written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closely the interpretation matches the textual evidence and theoretical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pages the thesis has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critics the researcher cites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ELT, studying the impact of task-based learning using pre- and post-tests reflects: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Experimental design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Ethnographic method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study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Archival research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Observing real classroom interaction without interference is: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Controlled observation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Naturalistic observation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Experimental method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Survey method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balanced corpus is designed to: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only literary texts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equal sentence length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 diverse language use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on one genre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Combining interviews, textual analysis, and classroom observation demonstrates: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Replication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Sampling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Generalization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Triangulation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Ensuring credibility in qualitative ELT research can be achieved through: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 checking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 samples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Statistical tools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Plagiarism means: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Proper citation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Copying without credit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Writing references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Data analysis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Research design refers to: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Data analysis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Blueprint of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Collection of data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Writing results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Which sampling method is based on random selection?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Convenience sampling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Purposive sampling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Probability sampling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Snowball sampling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Independent variable is: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Cause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Result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Outcome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Effect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ensures transparency in research reporting?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fabrication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Selective reporting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disclosure of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Ignoring limitations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Subject-Specific Questions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1=25)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most associated with Krashen’s theories?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Grammar-Translation Method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Input Hypothesis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Audiolingual Method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Functional-Notional Approach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Which of these is a receptive skill in ELT?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Writing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Speaking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Translating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Listening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a key component of Communicative Language Teaching (CLT)?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Emphasis on grammar drills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Focus on translation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Real-life communication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Memorization of vocabulary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What does TPR stand for in language teaching methodology?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Total Physical Response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Total Pronunciation Recall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Teaching Pronunciation Rapidly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Teacher-Parent Resource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The “silent way” approach emphasizes: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Teacher-centered instruction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Grammar accuracy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Student autonomy and discovery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Use of mother tongue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Jacques Derrida, what term describes the assumption and quest for a “core,”, “essence,” or “center” in Western philosophy?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Phonocentrism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Logocentrism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Différance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Presence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his work Orientalism, Edward Said argues that the “Orient” is: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geographical reality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cultural construct created by the 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inherently mystical region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historical documentation of Eastern cultures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essay “The Death of the Author”, which argues that the reader is the space where meaning is made, was written by: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Michel Foucault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Jacques Derrida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Roland Barthes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Jean Baudrillard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Gayatri Chakravorty Spivak popularized which term to describe marginalized groups who are denied a voice in colonial discourse?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Hegemony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Other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Subaltern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Diaspora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Marxist literary theory, what term describes the economic and social structures that shape literature?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Superstructure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Ideology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Infrastructure (Base)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Hegemony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Simone de Beauvoir’s statement “One is not born, but rather becomes, a woman” emphasizes: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 biological evolution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Gender as a social and cultural construct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inevitability of patriarchy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superiority of existentialist ethics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feminist theorist argues that “the personal is political” as a foundational critique of private–public binaries?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bell hooks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Kate Millett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Carol Hanisch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Adrienne Rich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Assertion (A): Diasporic subjects often experience cultural schizophrenia.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Reason (R): They are unable to negotiate multiple cultural identities simultaneously.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A and R are true, and R is the correct explanation of A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A and R are true, but R is NOT the correct explanation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is true but R is false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is false but R is true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Assertion (A): Transnationalism has weakened the concept of a homogeneous diaspora.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Reason (R): Global mobility has produced fragmented, multi-directional identities rather than a single collective community.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and R both true; R explains A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true; R not explanation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true, R false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false, R true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Assertion (A): The diasporic “myth of return” persists even among those who have permanently settled in host nations.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Reason (R): The idea of return operates at a psychological and symbolic level rather than a literal one.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and R true; R explains A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and R true; R not explanation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true, R false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false, R true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best describes the narrative technique in Wuthering Heights?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Omniscient narration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Epistolary narration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 narrative with multiple narrators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 of consciousness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work is subtitled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“A Modern Prometheus”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Dr. Faustus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Frankenstein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Paradise Lost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Prelude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movement is T. S. Eliot most closely associated with?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Romanticism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Absurdism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Neoclassicism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Which character in Chaucer’s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General Prologue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 was stout and brawny, with a wart on his nose?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The Summoner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The Monk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The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The Pardoner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“Was this the face that launched a thousand ships…” is the celebrated list from: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A) Tamburlaine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B) Dr. Faustus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C) Edward II</w:t>
        <w:br w:type="textWrapping"/>
        <w:t xml:space="preserve">D) The Spanish Tragedy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Who theorized the concept of “double consciousness”?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Frederick Douglass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W. E. B. Du Bois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James Baldwin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Richard Wright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Which idea is strongly challenged by Ralph Waldo Emerson’s “Transcendentalism”?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Empirical materialism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Scientific rationality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Puritan determinism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Institutional conformity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What does the whale symbolize in Moby-Dick?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Fixed moral evil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Capitalist expansion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Epistemological ambiguity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Religious salvation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How does Emily Dickinson destabilize poetic meaning?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Syntactic disruption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Conventional rhyme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Linear narration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Didactic closure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What key narrative feature characterizes William Faulkner’s fiction?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Realist objectivity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Fragmented temporality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Classical unity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Mythic closure</w:t>
      </w:r>
    </w:p>
    <w:p w:rsidR="00000000" w:rsidDel="00000000" w:rsidP="00000000" w:rsidRDefault="00000000" w:rsidRPr="00000000" w14:paraId="00000121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Answer Key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5181601</wp:posOffset>
                </wp:positionH>
                <wp:positionV relativeFrom="paragraph">
                  <wp:posOffset>-57147</wp:posOffset>
                </wp:positionV>
                <wp:extent cx="933450" cy="800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0000076293945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80"/>
                                <w:vertAlign w:val="baseline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5181601</wp:posOffset>
                </wp:positionH>
                <wp:positionV relativeFrom="paragraph">
                  <wp:posOffset>-57147</wp:posOffset>
                </wp:positionV>
                <wp:extent cx="933450" cy="800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4"/>
        <w:tblW w:w="6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2"/>
        <w:gridCol w:w="1701"/>
        <w:gridCol w:w="1701"/>
        <w:gridCol w:w="1701"/>
        <w:tblGridChange w:id="0">
          <w:tblGrid>
            <w:gridCol w:w="1402"/>
            <w:gridCol w:w="1701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Question No.</w:t>
            </w:r>
          </w:p>
        </w:tc>
        <w:tc>
          <w:tcPr/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Correct Option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Question No.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Correct Option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B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1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8">
    <w:lvl w:ilvl="0">
      <w:start w:val="1"/>
      <w:numFmt w:val="upperLetter"/>
      <w:lvlText w:val="%1.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9"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211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hmvNd5j5IAxvevehNxfwMFCSSg==">CgMxLjA4AHIhMU5EQXI4UjdNNUpKaFl4UDA4Z3RyQ2NKazdMRFVoaThY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