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Unidad de Alta Tecnología (UAT) UNAM dio marcha a crear una herramienta para hacer investigación en motores de combustión con el fin de impulsar el desarrollo de nuevas tecnologías y el uso de diferentes combustibles. Para lograr esto armaron un dinamómetro con un motor de motocicleta y un freno hidráulico.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INSOEL fue parte del proyecto para diseñar y fabricar los siguientes elementos: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Instrumentación de los sensores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Adquisición y guardado de datos obtenidos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Interfaz gráfica para el monitoreo del dinamómetro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Mandos de control del dinamómetro para realizar las pruebas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Organización y etiquetado del arnés de motor y otros elementos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Lo más destacado en esta colaboración por parte de INSOEL fue el compromiso con la UAT de entregar resultados por lo que fuimos parte de cada paso en las pruebas del dinamómetro, aportamos conocimiento, fuimos parte del armado de los elementos hidráulicos y mecánicos. También estuvimos en cada prueba de dinamómetro en donde se obtenía información para agregar en la interfaz y ajustar en la instrumentación.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Es importante mencionar que este proyecto se sometió a evaluación para obtener una patente pues la forma de construcción del dinamómetro y la instrumentación del mismo presentan innovación. Es por esto que los elementos que lo conforman no se mencionan.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