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bookmarkStart w:colFirst="0" w:colLast="0" w:name="_gseimhl739oy" w:id="0"/>
      <w:bookmarkEnd w:id="0"/>
      <w:r w:rsidDel="00000000" w:rsidR="00000000" w:rsidRPr="00000000">
        <w:rPr>
          <w:sz w:val="44"/>
          <w:szCs w:val="44"/>
          <w:rtl w:val="0"/>
        </w:rPr>
        <w:t xml:space="preserve">Integración de Soluciones en Automatización y Control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Estamos comprometidos en brindar soluciones integrales y eficientes a nuestros clientes, debido a que nuestro lema implica aplicar lo último en innovación, eficiencia y viabilidad.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Llevamos a cabo una colaboración con la UNAM - Querétaro, el Tecnológico de Monterrey y la empresa SOLENA para realizar una integración de un panel de control con el objetivo de implementar un sistema de automatización. El biorreactor tienen la finalidad generador de Hidrógeno como fuente de energía alterna. En este proyecto multidisciplinario se contó con la aportación del desarrollo tecnológico de las instituciones educativas de la UNAM y el Tec de Monterrey. La empresa SOLENA nos brindó acceso a sus instalaciones y proporcionó la infraestructura necesaria para llevar a cabo este proyecto que se encuentra en funcionamiento hasta la fecha. INSOEL formó parte de este proyecto fungiendo como vínculo entre los centros de investigación y la industria llevando a cabo la implementación trasladando del prototipo a la realidad.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