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51.png" ContentType="image/png"/>
  <Override PartName="/word/media/rId57.png" ContentType="image/png"/>
  <Override PartName="/word/media/rId60.png" ContentType="image/png"/>
  <Override PartName="/word/media/rId21.png" ContentType="image/png"/>
  <Override PartName="/word/media/rId24.png" ContentType="image/png"/>
  <Override PartName="/word/media/rId30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Расчёт</w:t>
      </w:r>
      <w:r>
        <w:t xml:space="preserve"> </w:t>
      </w:r>
      <w:r>
        <w:t xml:space="preserve">сети</w:t>
      </w:r>
      <w:r>
        <w:t xml:space="preserve"> </w:t>
      </w:r>
      <w:r>
        <w:t xml:space="preserve">Fast</w:t>
      </w:r>
      <w:r>
        <w:t xml:space="preserve"> </w:t>
      </w:r>
      <w:r>
        <w:t xml:space="preserve">Ethernet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изучение принципов технологий Ethernet и Fast Ethernet и практическое освоение методик оценки работоспособности сети, построенной на базе технологии Fast Ethernet.</w:t>
      </w:r>
    </w:p>
    <w:bookmarkEnd w:id="20"/>
    <w:bookmarkStart w:id="64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bookmarkStart w:id="63" w:name="задание-для-выполне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выполнения</w:t>
      </w:r>
    </w:p>
    <w:p>
      <w:pPr>
        <w:pStyle w:val="FirstParagraph"/>
      </w:pPr>
      <w:r>
        <w:t xml:space="preserve">Требуется оценить работоспособность 100-мегабитной сети Fast Ethernet в соответствии с первой и второй моделями.</w:t>
      </w:r>
    </w:p>
    <w:p>
      <w:pPr>
        <w:pStyle w:val="BodyText"/>
      </w:pPr>
      <w:r>
        <w:t xml:space="preserve">Конфигурации сети приведены в табл. 2.4. Топология сети представлена на рис. 2.4. (рис. 1), (рис. 2).</w:t>
      </w:r>
    </w:p>
    <w:p>
      <w:pPr>
        <w:pStyle w:val="CaptionedFigure"/>
      </w:pPr>
      <w:r>
        <w:drawing>
          <wp:inline>
            <wp:extent cx="4800600" cy="2770113"/>
            <wp:effectExtent b="0" l="0" r="0" t="0"/>
            <wp:docPr descr="Таблица с вариантами" title="" id="22" name="Picture"/>
            <a:graphic>
              <a:graphicData uri="http://schemas.openxmlformats.org/drawingml/2006/picture">
                <pic:pic>
                  <pic:nvPicPr>
                    <pic:cNvPr descr="image/1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Таблица с вариантами</w:t>
      </w:r>
    </w:p>
    <w:p>
      <w:pPr>
        <w:pStyle w:val="CaptionedFigure"/>
      </w:pPr>
      <w:r>
        <w:drawing>
          <wp:inline>
            <wp:extent cx="4800600" cy="2784661"/>
            <wp:effectExtent b="0" l="0" r="0" t="0"/>
            <wp:docPr descr="Топология сети" title="" id="25" name="Picture"/>
            <a:graphic>
              <a:graphicData uri="http://schemas.openxmlformats.org/drawingml/2006/picture">
                <pic:pic>
                  <pic:nvPicPr>
                    <pic:cNvPr descr="image/1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8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Топология сети</w:t>
      </w:r>
    </w:p>
    <w:p>
      <w:pPr>
        <w:pStyle w:val="BodyText"/>
      </w:pPr>
      <w:r>
        <w:t xml:space="preserve">Разберем сначала все варианты для первой модели:</w:t>
      </w:r>
    </w:p>
    <w:p>
      <w:pPr>
        <w:pStyle w:val="BodyText"/>
      </w:pPr>
      <w:r>
        <w:t xml:space="preserve">Главными условиями являются: длина каждого сегмента витой пары должна быть меньше 100 м и повторители класса II немедленно передают полученные сигналы без всякого преобразования, поэтому к ним можно подключать только сегменты, использующие одинаковые способы кодирования данных; можно использовать неболее двух повторителей класса II в одном домене коллизий.</w:t>
      </w:r>
    </w:p>
    <w:p>
      <w:pPr>
        <w:pStyle w:val="BodyText"/>
      </w:pPr>
      <w:r>
        <w:t xml:space="preserve">Информацию о повторителях мы получаем из топологии сети. Их ровно 2.</w:t>
      </w:r>
    </w:p>
    <w:p>
      <w:pPr>
        <w:pStyle w:val="BodyText"/>
      </w:pPr>
      <w:r>
        <w:t xml:space="preserve">Разберем данные из таблиц. Варианты 1,2,4: Сеть соответствует первой модели. Все длины сигментов менее 100 метров.(рис. 3), (рис. 4),(рис. 5)</w:t>
      </w:r>
    </w:p>
    <w:p>
      <w:pPr>
        <w:pStyle w:val="CaptionedFigure"/>
      </w:pPr>
      <w:r>
        <w:drawing>
          <wp:inline>
            <wp:extent cx="3099334" cy="2136808"/>
            <wp:effectExtent b="0" l="0" r="0" t="0"/>
            <wp:docPr descr="Вариант 1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Вариант 1</w:t>
      </w:r>
    </w:p>
    <w:p>
      <w:pPr>
        <w:pStyle w:val="CaptionedFigure"/>
      </w:pPr>
      <w:r>
        <w:drawing>
          <wp:inline>
            <wp:extent cx="3031957" cy="2117557"/>
            <wp:effectExtent b="0" l="0" r="0" t="0"/>
            <wp:docPr descr="Вариант 2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Вариант 2</w:t>
      </w:r>
    </w:p>
    <w:p>
      <w:pPr>
        <w:pStyle w:val="CaptionedFigure"/>
      </w:pPr>
      <w:r>
        <w:drawing>
          <wp:inline>
            <wp:extent cx="3484345" cy="2117557"/>
            <wp:effectExtent b="0" l="0" r="0" t="0"/>
            <wp:docPr descr="Вариант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Вариант 4</w:t>
      </w:r>
    </w:p>
    <w:p>
      <w:pPr>
        <w:pStyle w:val="BodyText"/>
      </w:pPr>
      <w:r>
        <w:t xml:space="preserve">Варианты 3,5,6: Сеть не соответствует первой модели. Все длины сигментов более 100 метров.(рис. 6), (рис. 7),(рис. 8)</w:t>
      </w:r>
    </w:p>
    <w:p>
      <w:pPr>
        <w:pStyle w:val="CaptionedFigure"/>
      </w:pPr>
      <w:r>
        <w:drawing>
          <wp:inline>
            <wp:extent cx="3089709" cy="2117557"/>
            <wp:effectExtent b="0" l="0" r="0" t="0"/>
            <wp:docPr descr="Вариант 3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Вариант 3</w:t>
      </w:r>
    </w:p>
    <w:p>
      <w:pPr>
        <w:pStyle w:val="CaptionedFigure"/>
      </w:pPr>
      <w:r>
        <w:drawing>
          <wp:inline>
            <wp:extent cx="3493970" cy="2088682"/>
            <wp:effectExtent b="0" l="0" r="0" t="0"/>
            <wp:docPr descr="Вариант 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Вариант 5</w:t>
      </w:r>
    </w:p>
    <w:p>
      <w:pPr>
        <w:pStyle w:val="CaptionedFigure"/>
      </w:pPr>
      <w:r>
        <w:drawing>
          <wp:inline>
            <wp:extent cx="3599848" cy="2213810"/>
            <wp:effectExtent b="0" l="0" r="0" t="0"/>
            <wp:docPr descr="Вариант 6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Вариант 6</w:t>
      </w:r>
    </w:p>
    <w:p>
      <w:pPr>
        <w:pStyle w:val="BodyText"/>
      </w:pPr>
      <w:r>
        <w:t xml:space="preserve">Разберем все варианты для второй модели:</w:t>
      </w:r>
    </w:p>
    <w:p>
      <w:pPr>
        <w:pStyle w:val="BodyText"/>
      </w:pPr>
      <w:r>
        <w:t xml:space="preserve">Для вычисления времени двойного оборота нужно умножить длину сегмента на величину удельного времени двойного оборота соответствующего сегмента. Определив времена двойного оборота для всех сегментов наихудшего пути, к ним нужно прибавить задержку, вносимую парой оконечных узлов и повторителями. Для учёта непредвиденных задержек к полученному результату рекомендуется добавить ещё 4 битовых интервала (би) и сравнить результат с числом 512. Если полученный результат не превышает 512 би, то сеть считается работоспособной.</w:t>
      </w:r>
    </w:p>
    <w:p>
      <w:pPr>
        <w:pStyle w:val="BodyText"/>
      </w:pPr>
      <w:r>
        <w:t xml:space="preserve">Разберем данные из таблиц. Варианты 1,3,4: Сеть работоспособна. В сумме передача данных по самому худщему маршруту не привышает 512 би.(рис. 9), (рис. 10),(рис. 11)</w:t>
      </w:r>
    </w:p>
    <w:p>
      <w:pPr>
        <w:pStyle w:val="CaptionedFigure"/>
      </w:pPr>
      <w:r>
        <w:drawing>
          <wp:inline>
            <wp:extent cx="4800600" cy="2336715"/>
            <wp:effectExtent b="0" l="0" r="0" t="0"/>
            <wp:docPr descr="Вариант 1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Вариант 1</w:t>
      </w:r>
    </w:p>
    <w:p>
      <w:pPr>
        <w:pStyle w:val="CaptionedFigure"/>
      </w:pPr>
      <w:r>
        <w:drawing>
          <wp:inline>
            <wp:extent cx="4800600" cy="2312581"/>
            <wp:effectExtent b="0" l="0" r="0" t="0"/>
            <wp:docPr descr="Вариант 3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Вариант 3</w:t>
      </w:r>
    </w:p>
    <w:p>
      <w:pPr>
        <w:pStyle w:val="CaptionedFigure"/>
      </w:pPr>
      <w:r>
        <w:drawing>
          <wp:inline>
            <wp:extent cx="4800600" cy="2317258"/>
            <wp:effectExtent b="0" l="0" r="0" t="0"/>
            <wp:docPr descr="Вариант 4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1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Вариант 4</w:t>
      </w:r>
    </w:p>
    <w:p>
      <w:pPr>
        <w:pStyle w:val="BodyText"/>
      </w:pPr>
      <w:r>
        <w:t xml:space="preserve">Разберем данные из таблиц. Варианты 2,5,6: Сеть не работоспособна. В сумме передача данных по самому худщему маршруту привышает 512 би.(рис. 12), (рис. 13),(рис. 14)</w:t>
      </w:r>
    </w:p>
    <w:p>
      <w:pPr>
        <w:pStyle w:val="CaptionedFigure"/>
      </w:pPr>
      <w:r>
        <w:drawing>
          <wp:inline>
            <wp:extent cx="4800600" cy="2348893"/>
            <wp:effectExtent b="0" l="0" r="0" t="0"/>
            <wp:docPr descr="Вариант 2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Вариант 2</w:t>
      </w:r>
    </w:p>
    <w:p>
      <w:pPr>
        <w:pStyle w:val="CaptionedFigure"/>
      </w:pPr>
      <w:r>
        <w:drawing>
          <wp:inline>
            <wp:extent cx="4800600" cy="2329238"/>
            <wp:effectExtent b="0" l="0" r="0" t="0"/>
            <wp:docPr descr="Вариант 5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Вариант 5</w:t>
      </w:r>
    </w:p>
    <w:p>
      <w:pPr>
        <w:pStyle w:val="CaptionedFigure"/>
      </w:pPr>
      <w:r>
        <w:drawing>
          <wp:inline>
            <wp:extent cx="4800600" cy="2340591"/>
            <wp:effectExtent b="0" l="0" r="0" t="0"/>
            <wp:docPr descr="Вариант 6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Вариант 6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принципы технологий Ethernet и Fast Ethernet и на практике освояли методику оценки работоспособности сети, построенной на базе технологии Fast Ethernet.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</dc:title>
  <dc:creator>Диана Алексеевна Садова</dc:creator>
  <dc:language>ru-RU</dc:language>
  <cp:keywords/>
  <dcterms:created xsi:type="dcterms:W3CDTF">2025-09-27T12:28:14Z</dcterms:created>
  <dcterms:modified xsi:type="dcterms:W3CDTF">2025-09-27T12:28:14Z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Расчёт сети Fast Ethernet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