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2.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DVWA</w:t>
      </w:r>
    </w:p>
    <w:p>
      <w:pPr>
        <w:pStyle w:val="Author"/>
      </w:pPr>
      <w:r>
        <w:t xml:space="preserve">Диана</w:t>
      </w:r>
      <w:r>
        <w:t xml:space="preserve"> </w:t>
      </w:r>
      <w:r>
        <w:t xml:space="preserve">Алексеевна</w:t>
      </w:r>
      <w:r>
        <w:t xml:space="preserve"> </w:t>
      </w:r>
      <w:r>
        <w:t xml:space="preserve">Садова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Установите DVWA в гостевую систему к Kali Linux.</w:t>
      </w:r>
    </w:p>
    <w:bookmarkEnd w:id="20"/>
    <w:bookmarkStart w:id="78" w:name="последовательность-выполнения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Последовательность выполнения работы</w:t>
      </w:r>
    </w:p>
    <w:p>
      <w:pPr>
        <w:pStyle w:val="FirstParagraph"/>
      </w:pPr>
      <w:r>
        <w:t xml:space="preserve">Перейдите в каталог www (рис. 1).</w:t>
      </w:r>
    </w:p>
    <w:p>
      <w:pPr>
        <w:pStyle w:val="CaptionedFigure"/>
      </w:pPr>
      <w:r>
        <w:drawing>
          <wp:inline>
            <wp:extent cx="3378467" cy="1260909"/>
            <wp:effectExtent b="0" l="0" r="0" t="0"/>
            <wp:docPr descr="Переходим в каталог html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467" cy="1260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Переходим в каталог html</w:t>
      </w:r>
    </w:p>
    <w:p>
      <w:pPr>
        <w:pStyle w:val="BodyText"/>
      </w:pPr>
      <w:r>
        <w:t xml:space="preserve">Клонируйте репозиторий git:(рис. 2).</w:t>
      </w:r>
    </w:p>
    <w:p>
      <w:pPr>
        <w:pStyle w:val="CaptionedFigure"/>
      </w:pPr>
      <w:r>
        <w:drawing>
          <wp:inline>
            <wp:extent cx="4800600" cy="803821"/>
            <wp:effectExtent b="0" l="0" r="0" t="0"/>
            <wp:docPr descr="Клонируем репридиторий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03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Клонируем репридиторий</w:t>
      </w:r>
    </w:p>
    <w:p>
      <w:pPr>
        <w:pStyle w:val="BodyText"/>
      </w:pPr>
      <w:r>
        <w:t xml:space="preserve">Измените права доступа к папке установки (рис. 3).</w:t>
      </w:r>
    </w:p>
    <w:p>
      <w:pPr>
        <w:pStyle w:val="CaptionedFigure"/>
      </w:pPr>
      <w:r>
        <w:drawing>
          <wp:inline>
            <wp:extent cx="3378467" cy="1232033"/>
            <wp:effectExtent b="0" l="0" r="0" t="0"/>
            <wp:docPr descr="Изменяем права доступа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467" cy="1232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Изменяем права доступа</w:t>
      </w:r>
    </w:p>
    <w:p>
      <w:pPr>
        <w:pStyle w:val="BodyText"/>
      </w:pPr>
      <w:r>
        <w:t xml:space="preserve">Перейдите к файлу конфигурации в каталоге установки:(рис. 4).</w:t>
      </w:r>
    </w:p>
    <w:p>
      <w:pPr>
        <w:pStyle w:val="CaptionedFigure"/>
      </w:pPr>
      <w:r>
        <w:drawing>
          <wp:inline>
            <wp:extent cx="4523873" cy="1097280"/>
            <wp:effectExtent b="0" l="0" r="0" t="0"/>
            <wp:docPr descr="Переходим в нужный файл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873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Переходим в нужный файл</w:t>
      </w:r>
    </w:p>
    <w:p>
      <w:pPr>
        <w:pStyle w:val="BodyText"/>
      </w:pPr>
      <w:r>
        <w:t xml:space="preserve">Скопируйте файл конфигурации и переименуйте его:(рис. 5).</w:t>
      </w:r>
    </w:p>
    <w:p>
      <w:pPr>
        <w:pStyle w:val="CaptionedFigure"/>
      </w:pPr>
      <w:r>
        <w:drawing>
          <wp:inline>
            <wp:extent cx="4754880" cy="1309035"/>
            <wp:effectExtent b="0" l="0" r="0" t="0"/>
            <wp:docPr descr="Копируем файл конфигурации и переименовываем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309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Копируем файл конфигурации и переименовываем</w:t>
      </w:r>
    </w:p>
    <w:p>
      <w:pPr>
        <w:pStyle w:val="BodyText"/>
      </w:pPr>
      <w:r>
        <w:t xml:space="preserve">Откройте файл настроек и измените пароль на что-то более простое для ввода (я изменю пароль на pass):(рис. 6).</w:t>
      </w:r>
    </w:p>
    <w:p>
      <w:pPr>
        <w:pStyle w:val="CaptionedFigure"/>
      </w:pPr>
      <w:r>
        <w:drawing>
          <wp:inline>
            <wp:extent cx="4800600" cy="1485751"/>
            <wp:effectExtent b="0" l="0" r="0" t="0"/>
            <wp:docPr descr="Открываем файл и редактируем пароль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85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Открываем файл и редактируем пароль</w:t>
      </w:r>
    </w:p>
    <w:p>
      <w:pPr>
        <w:pStyle w:val="BodyText"/>
      </w:pPr>
      <w:r>
        <w:t xml:space="preserve">На следующем снимке экрана показано содержимое файла конфигурации, включая всю информацию о базе данных:(рис. 7).</w:t>
      </w:r>
    </w:p>
    <w:p>
      <w:pPr>
        <w:pStyle w:val="CaptionedFigure"/>
      </w:pPr>
      <w:r>
        <w:drawing>
          <wp:inline>
            <wp:extent cx="4639376" cy="596766"/>
            <wp:effectExtent b="0" l="0" r="0" t="0"/>
            <wp:docPr descr="Открываем файл и редактируем пароль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76" cy="59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Открываем файл и редактируем пароль</w:t>
      </w:r>
    </w:p>
    <w:p>
      <w:pPr>
        <w:pStyle w:val="BodyText"/>
      </w:pPr>
      <w:r>
        <w:t xml:space="preserve">Установите mariadb:(рис. 8),(рис. 9).</w:t>
      </w:r>
    </w:p>
    <w:p>
      <w:pPr>
        <w:pStyle w:val="CaptionedFigure"/>
      </w:pPr>
      <w:r>
        <w:drawing>
          <wp:inline>
            <wp:extent cx="4800600" cy="966314"/>
            <wp:effectExtent b="0" l="0" r="0" t="0"/>
            <wp:docPr descr="Проверяем обнавления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66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Проверяем обнавления</w:t>
      </w:r>
    </w:p>
    <w:p>
      <w:pPr>
        <w:pStyle w:val="CaptionedFigure"/>
      </w:pPr>
      <w:r>
        <w:drawing>
          <wp:inline>
            <wp:extent cx="4800600" cy="2046862"/>
            <wp:effectExtent b="0" l="0" r="0" t="0"/>
            <wp:docPr descr="Устанавливаем доп программы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46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Устанавливаем доп программы</w:t>
      </w:r>
    </w:p>
    <w:p>
      <w:pPr>
        <w:pStyle w:val="BodyText"/>
      </w:pPr>
      <w:r>
        <w:t xml:space="preserve">Запустите базу данных:(рис. 10).</w:t>
      </w:r>
    </w:p>
    <w:p>
      <w:pPr>
        <w:pStyle w:val="CaptionedFigure"/>
      </w:pPr>
      <w:r>
        <w:drawing>
          <wp:inline>
            <wp:extent cx="4697128" cy="1164656"/>
            <wp:effectExtent b="0" l="0" r="0" t="0"/>
            <wp:docPr descr="Запускаем базу данных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128" cy="1164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Запускаем базу данных</w:t>
      </w:r>
    </w:p>
    <w:p>
      <w:pPr>
        <w:pStyle w:val="BodyText"/>
      </w:pPr>
      <w:r>
        <w:t xml:space="preserve">Войдите в базу данных (пароля нет, поэтому просто нажмите Enter при появлении запроса):(рис. 11).</w:t>
      </w:r>
    </w:p>
    <w:p>
      <w:pPr>
        <w:pStyle w:val="CaptionedFigure"/>
      </w:pPr>
      <w:r>
        <w:drawing>
          <wp:inline>
            <wp:extent cx="4800600" cy="2066081"/>
            <wp:effectExtent b="0" l="0" r="0" t="0"/>
            <wp:docPr descr="Заходим в базу данных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66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Заходим в базу данных</w:t>
      </w:r>
    </w:p>
    <w:p>
      <w:pPr>
        <w:pStyle w:val="BodyText"/>
      </w:pPr>
      <w:r>
        <w:t xml:space="preserve">Создайте пользователя базы данных. Нужно использовать те же имя пользователя и пароль, которые использовались в файле конфигурации (см. скрин выше):(рис. 12).</w:t>
      </w:r>
    </w:p>
    <w:p>
      <w:pPr>
        <w:pStyle w:val="CaptionedFigure"/>
      </w:pPr>
      <w:r>
        <w:drawing>
          <wp:inline>
            <wp:extent cx="4800600" cy="813350"/>
            <wp:effectExtent b="0" l="0" r="0" t="0"/>
            <wp:docPr descr="Создаем пользователя базы данных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13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Создаем пользователя базы данных</w:t>
      </w:r>
    </w:p>
    <w:p>
      <w:pPr>
        <w:pStyle w:val="BodyText"/>
      </w:pPr>
      <w:r>
        <w:t xml:space="preserve">Предоставьте пользователю все привилегии:(рис. 13).</w:t>
      </w:r>
    </w:p>
    <w:p>
      <w:pPr>
        <w:pStyle w:val="CaptionedFigure"/>
      </w:pPr>
      <w:r>
        <w:drawing>
          <wp:inline>
            <wp:extent cx="4800600" cy="727176"/>
            <wp:effectExtent b="0" l="0" r="0" t="0"/>
            <wp:docPr descr="Передаем пользователю привелегии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27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Передаем пользователю привелегии</w:t>
      </w:r>
    </w:p>
    <w:p>
      <w:pPr>
        <w:pStyle w:val="BodyText"/>
      </w:pPr>
      <w:r>
        <w:t xml:space="preserve">Пришло время перейти в каталог apache2 для настройки сервера Apache:(рис. 14).</w:t>
      </w:r>
    </w:p>
    <w:p>
      <w:pPr>
        <w:pStyle w:val="CaptionedFigure"/>
      </w:pPr>
      <w:r>
        <w:drawing>
          <wp:inline>
            <wp:extent cx="4649002" cy="1241658"/>
            <wp:effectExtent b="0" l="0" r="0" t="0"/>
            <wp:docPr descr="Переходим в каталог apache2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002" cy="1241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Переходим в каталог apache2</w:t>
      </w:r>
    </w:p>
    <w:p>
      <w:pPr>
        <w:pStyle w:val="BodyText"/>
      </w:pPr>
      <w:r>
        <w:t xml:space="preserve">Откройте для редактирования файл php.ini, чтобы включить следующие параметры: allow_url_fopen и allow_url_include:(рис. 15),(рис. 16).</w:t>
      </w:r>
    </w:p>
    <w:p>
      <w:pPr>
        <w:pStyle w:val="CaptionedFigure"/>
      </w:pPr>
      <w:r>
        <w:drawing>
          <wp:inline>
            <wp:extent cx="4706753" cy="789271"/>
            <wp:effectExtent b="0" l="0" r="0" t="0"/>
            <wp:docPr descr="Редактируем файл php.ini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753" cy="789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Редактируем файл php.ini</w:t>
      </w:r>
    </w:p>
    <w:p>
      <w:pPr>
        <w:pStyle w:val="CaptionedFigure"/>
      </w:pPr>
      <w:r>
        <w:drawing>
          <wp:inline>
            <wp:extent cx="4800600" cy="1459711"/>
            <wp:effectExtent b="0" l="0" r="0" t="0"/>
            <wp:docPr descr="Редактируем файл php.ini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59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Редактируем файл php.ini</w:t>
      </w:r>
    </w:p>
    <w:p>
      <w:pPr>
        <w:pStyle w:val="BodyText"/>
      </w:pPr>
      <w:r>
        <w:t xml:space="preserve">Запустите сервер Apache:(рис. 17).</w:t>
      </w:r>
    </w:p>
    <w:p>
      <w:pPr>
        <w:pStyle w:val="CaptionedFigure"/>
      </w:pPr>
      <w:r>
        <w:drawing>
          <wp:inline>
            <wp:extent cx="4800600" cy="1209675"/>
            <wp:effectExtent b="0" l="0" r="0" t="0"/>
            <wp:docPr descr="Запускаем сервер Apache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Запускаем сервер Apache</w:t>
      </w:r>
    </w:p>
    <w:p>
      <w:pPr>
        <w:pStyle w:val="BodyText"/>
      </w:pPr>
      <w:r>
        <w:t xml:space="preserve">Если все сделали правильно, то можно открыть DVWA в браузере, введя в адресной строке следующее:(рис. 18).</w:t>
      </w:r>
    </w:p>
    <w:p>
      <w:pPr>
        <w:pStyle w:val="CaptionedFigure"/>
      </w:pPr>
      <w:r>
        <w:drawing>
          <wp:inline>
            <wp:extent cx="3628724" cy="1039528"/>
            <wp:effectExtent b="0" l="0" r="0" t="0"/>
            <wp:docPr descr="Вводим адрис DVWA в браузере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724" cy="1039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Вводим адрис DVWA в браузере</w:t>
      </w:r>
    </w:p>
    <w:p>
      <w:pPr>
        <w:pStyle w:val="BodyText"/>
      </w:pPr>
      <w:r>
        <w:t xml:space="preserve">Если открылась страница настройки, это означает, что вы успешно установили DVWA на Kali Linux (рис. 19).</w:t>
      </w:r>
    </w:p>
    <w:p>
      <w:pPr>
        <w:pStyle w:val="CaptionedFigure"/>
      </w:pPr>
      <w:r>
        <w:drawing>
          <wp:inline>
            <wp:extent cx="3744227" cy="3474720"/>
            <wp:effectExtent b="0" l="0" r="0" t="0"/>
            <wp:docPr descr="Окно DVWA на Kali Linux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227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Окно DVWA на Kali Linux</w:t>
      </w:r>
    </w:p>
    <w:bookmarkEnd w:id="78"/>
    <w:bookmarkStart w:id="7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смогли установить DVWA в гостевую систему к Kali Linux.</w:t>
      </w:r>
    </w:p>
    <w:bookmarkEnd w:id="79"/>
    <w:bookmarkStart w:id="81" w:name="список-литературы"/>
    <w:p>
      <w:pPr>
        <w:pStyle w:val="Heading1"/>
      </w:pPr>
      <w:r>
        <w:t xml:space="preserve">Список литературы</w:t>
      </w:r>
    </w:p>
    <w:bookmarkStart w:id="80" w:name="refs"/>
    <w:bookmarkEnd w:id="80"/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2.</dc:title>
  <dc:creator>Диана Алексеевна Садова</dc:creator>
  <dc:language>ru-RU</dc:language>
  <cp:keywords/>
  <dcterms:created xsi:type="dcterms:W3CDTF">2025-03-22T11:07:43Z</dcterms:created>
  <dcterms:modified xsi:type="dcterms:W3CDTF">2025-03-22T11:07:43Z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Установка DVWA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