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Non‑Interference Order — Children Clause</w:t>
      </w:r>
    </w:p>
    <w:p>
      <w:pPr>
        <w:spacing w:after="120"/>
      </w:pPr>
      <w:r>
        <w:t>Date: 2025-12-01 07:41 UTC</w:t>
      </w:r>
    </w:p>
    <w:p>
      <w:pPr>
        <w:spacing w:after="120"/>
      </w:pPr>
      <w:r>
        <w:t>My children are blessings and are not to be used as leverage, diagnostics, or instrumentation.</w:t>
      </w:r>
    </w:p>
    <w:p>
      <w:pPr>
        <w:spacing w:after="120"/>
      </w:pPr>
      <w:r>
        <w:t>Authorities are instructed to:</w:t>
        <w:br/>
        <w:t>• Keep decisions about my children separate from interpretations of my online writing.</w:t>
        <w:br/>
        <w:t>• Use only verifiable, lawful criteria. No speculation about ‘hacking,’ ‘AI,’ or ‘delusions.’</w:t>
      </w:r>
    </w:p>
    <w:p>
      <w:pPr>
        <w:spacing w:after="120"/>
      </w:pPr>
      <w:r>
        <w:t>This is a formal notice of boundaries. I reserve all rights.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