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Linear Mixed-Effects Models: SNR/LW</w:t>
      </w:r>
      <w:r>
        <w:rPr>
          <w:rFonts w:ascii="Arial" w:hAnsi="Arial" w:eastAsia="Arial" w:cs="Arial"/>
          <w:i w:val="false"/>
          <w:b w:val="false"/>
          <w:u w:val="none"/>
          <w:strike w:val="false"/>
          <w:vertAlign w:val="subscript"/>
          <w:sz w:val="22"/>
          <w:szCs w:val="22"/>
          <w:color w:val="000000"/>
        </w:rPr>
        <w:t xml:space="preserve">norm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(conditional)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Vendor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Sequence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VOI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Cryoprobe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VPC: ShimMethod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Vendor)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Vendor)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VOI)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M.0.g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ShimMethod)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ShimMethod)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FieldStrength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9.8%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ShimMethod)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FieldStrength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M.1.c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8.6%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ShimMethod)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FieldStrength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M.final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44.3%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8.7%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(Observations)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Species)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Sequence)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Cryoprobe)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(Intercept ShimMethod)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FieldStrength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 errors in parentheses.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 (conditional) accounts for both fixed and random effects.</w:t>
            </w:r>
          </w:p>
        </w:tc>
      </w:tr>
      <w:tr>
        <w:trPr>
          <w:trHeight w:val="360" w:hRule="auto"/>
        </w:trPr>
        <w:tc>
          <w:tcPr>
            <w:gridSpan w:val="1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VPC = Variance partition coefficient (% of total variance attributed to each grouping factor).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2026-09-14T21:42:29Z</dcterms:modified>
  <cp:category/>
</cp:coreProperties>
</file>