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Linear Mixed-Effects Models: Norm. SNR/LW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M.null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M.1.a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M.1.b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M.1.c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23.691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23.828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24.554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24.554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24.554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28.506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24.554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24.554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33.525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(1.596)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(2.347)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(4.349)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(4.609)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(4.609)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(4.609)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(9.713)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(4.609)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(4.609)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(13.555)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(Observations)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6.593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DP)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17.187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SiteID)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Vendor)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ShimMethod)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Cryoprobe)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Species)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VOI)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Sequence)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31.962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R² (conditional)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0.947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VPC: Vendor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VPC: 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VPC: SiteID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VPC: 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21.7%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VPC: ShimMethod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VPC: Cryoprobe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VPC: Species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VPC: VOI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VPC: Sequence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75.1%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Standard errors in parentheses.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All models fit with REML. Dependent variable: normalized SNR/LW ratio.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Intercept-only fixed structure; random-effect grouping factors vary across models.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R² (conditional) accounts for both fixed and random effects (performance::r2).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VPC = Variance Partition Coefficient (% of total variance attributed to each grouping factor).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2026-04-17T01:28:29Z</dcterms:modified>
  <cp:category/>
</cp:coreProperties>
</file>