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Linear Mixed-Effects Models: SNR/LW</w:t>
      </w:r>
      <w:r>
        <w:rPr>
          <w:rFonts w:ascii="Arial" w:hAnsi="Arial" w:eastAsia="Arial" w:cs="Arial"/>
          <w:i w:val="false"/>
          <w:b w:val="false"/>
          <w:u w:val="none"/>
          <w:strike w:val="false"/>
          <w:vertAlign w:val="subscript"/>
          <w:sz w:val="22"/>
          <w:szCs w:val="22"/>
          <w:color w:val="000000"/>
        </w:rPr>
        <w:t xml:space="preserve">norm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Est.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R² (conditional)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VPC: Residual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VPC: DP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VPC: SiteID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VPC: Vendor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VPC: Species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VPC: ShimMethod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VPC: Cryoprobe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VPC: VOI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VPC: Sequence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24.554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5.9%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94.1%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(Observations)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DP)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SiteID)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Vendor)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(Observations)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Vendor)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(Observations)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SiteID)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(Observations)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DP)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(Observations)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DP)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SiteID)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(Observations)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DP)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SiteID)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Vendor)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Species)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M.1.a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(Observations)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DP)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ShimMethod)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M.1.b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(Observations)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DP)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Cryoprobe)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M.1.c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(Observations)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DP)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Species)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M.1.d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(Observations)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DP)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VOI)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M.1.e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75.1%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(Observations)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DP)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Sequence)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M.1.f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(Observations)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DP)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FieldStrength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M.1.g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(Observations)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DP)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M.1.h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(Observations)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DP)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73.1%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(Observations)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DP)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Cryoprobe)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Sequence)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31.228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1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Standard errors in parentheses.</w:t>
            </w:r>
          </w:p>
        </w:tc>
      </w:tr>
      <w:tr>
        <w:trPr>
          <w:trHeight w:val="360" w:hRule="auto"/>
        </w:trPr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R² (conditional) accounts for both fixed and random effects.</w:t>
            </w:r>
          </w:p>
        </w:tc>
      </w:tr>
      <w:tr>
        <w:trPr>
          <w:trHeight w:val="360" w:hRule="auto"/>
        </w:trPr>
        <w:tc>
          <w:tcPr>
            <w:gridSpan w:val="1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VPC = Variance partition coefficient (% of total variance attributed to each grouping factor).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2026-05-05T23:51:00Z</dcterms:modified>
  <cp:category/>
</cp:coreProperties>
</file>