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E3A5F"/>
          <w:sz w:val="38"/>
          <w:szCs w:val="38"/>
        </w:rPr>
        <w:t xml:space="preserve">CONTRAT DE PAIEMENT ÉCHELONNÉ</w:t>
      </w:r>
    </w:p>
    <w:p>
      <w:pPr>
        <w:spacing w:after="40"/>
        <w:jc w:val="center"/>
      </w:pPr>
      <w:r>
        <w:rPr>
          <w:rFonts w:ascii="Arial" w:cs="Arial" w:eastAsia="Arial" w:hAnsi="Arial"/>
          <w:color w:val="2E6DA4"/>
          <w:sz w:val="24"/>
          <w:szCs w:val="24"/>
        </w:rPr>
        <w:t xml:space="preserve">Application Mobile de Prestations de Services</w:t>
      </w:r>
    </w:p>
    <w:p>
      <w:pPr>
        <w:pBdr>
          <w:bottom w:val="single" w:color="2E6DA4" w:sz="6" w:space="1"/>
        </w:pBdr>
        <w:spacing w:after="24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N° CONT-2026-0318  •  Waller, Texas  •  18 mars 2026</w:t>
      </w:r>
    </w:p>
    <w:p>
      <w:pPr>
        <w:pBdr>
          <w:bottom w:val="single" w:color="1E3A5F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ARTICLE 1 — PARTIES AU CONTRAT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LE PRESTATAIRE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8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Entreprise :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Joel Computech Solution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8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Adresse :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19240 Stokes Rd #213, Waller, Texas 77484, États-Unis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8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Rôle :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Prestataire de développement logiciel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6DA4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LE CLIENT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8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Nom / Entreprise :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___________________________________________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8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Adresse :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___________________________________________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8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Email :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___________________________________________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8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Téléphone :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___________________________________________</w:t>
            </w:r>
          </w:p>
        </w:tc>
      </w:tr>
    </w:tbl>
    <w:p>
      <w:pPr>
        <w:pBdr>
          <w:bottom w:val="single" w:color="1E3A5F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ARTICLE 2 — OBJET DU CONTRAT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Le présent contrat a pour objet de définir les modalités de paiement convenues entre le Prestataire et le Client pour la réalisation d'une </w:t>
      </w:r>
      <w:r>
        <w:rPr>
          <w:rFonts w:ascii="Arial" w:cs="Arial" w:eastAsia="Arial" w:hAnsi="Arial"/>
          <w:b/>
          <w:bCs/>
          <w:i w:val="false"/>
          <w:iCs w:val="false"/>
          <w:color w:val="222222"/>
          <w:sz w:val="20"/>
          <w:szCs w:val="20"/>
        </w:rPr>
        <w:t xml:space="preserve">application mobile de prestations de services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 disponible sur Android et iOS, incluant un module de livraison, un système d'abonnement, une intégration Stripe Connect et un panel administrateur.</w:t>
      </w:r>
    </w:p>
    <w:p>
      <w:pPr>
        <w:pBdr>
          <w:bottom w:val="single" w:color="1E3A5F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ARTICLE 3 — MONTANTS ET ÉCHÉANCIER DE PAIEMENT</w:t>
      </w:r>
    </w:p>
    <w:p>
      <w:pPr>
        <w:spacing w:before="0"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Le montant total convenu pour l'ensemble des prestations est de </w:t>
      </w:r>
      <w:r>
        <w:rPr>
          <w:rFonts w:ascii="Arial" w:cs="Arial" w:eastAsia="Arial" w:hAnsi="Arial"/>
          <w:b/>
          <w:bCs/>
          <w:i w:val="false"/>
          <w:iCs w:val="false"/>
          <w:color w:val="1E3A5F"/>
          <w:sz w:val="20"/>
          <w:szCs w:val="20"/>
        </w:rPr>
        <w:t xml:space="preserve">quatre mille cinq cent quarante-et-un dollars américains ($ 4 541,00 USD)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, réparti comme suit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860"/>
      </w:tblGrid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Versement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80"/>
              <w:bottom w:type="dxa" w:w="10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Montant (USD)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Avance à la signature (dès aujourd'hui)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8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$ 800,00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Versement 1 — Mois 1 (à 30 jours)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8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$ 1 247,00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Versement 2 — Mois 2 (à 60 jours)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8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$ 1 247,00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Versement 3 — Mois 3 (à 90 jours)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8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$ 1 247,00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GÉNÉRAL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8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$ 4 541,00</w:t>
            </w:r>
          </w:p>
        </w:tc>
      </w:tr>
    </w:tbl>
    <w:p>
      <w:pPr>
        <w:spacing w:before="14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9"/>
          <w:szCs w:val="19"/>
        </w:rPr>
        <w:t xml:space="preserve">Soit : une avance de </w:t>
      </w:r>
      <w:r>
        <w:rPr>
          <w:rFonts w:ascii="Arial" w:cs="Arial" w:eastAsia="Arial" w:hAnsi="Arial"/>
          <w:b/>
          <w:bCs/>
          <w:i w:val="false"/>
          <w:iCs w:val="false"/>
          <w:color w:val="222222"/>
          <w:sz w:val="19"/>
          <w:szCs w:val="19"/>
        </w:rPr>
        <w:t xml:space="preserve">$ 800,00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9"/>
          <w:szCs w:val="19"/>
        </w:rPr>
        <w:t xml:space="preserve"> à la signature, puis un solde de </w:t>
      </w:r>
      <w:r>
        <w:rPr>
          <w:rFonts w:ascii="Arial" w:cs="Arial" w:eastAsia="Arial" w:hAnsi="Arial"/>
          <w:b/>
          <w:bCs/>
          <w:i w:val="false"/>
          <w:iCs w:val="false"/>
          <w:color w:val="222222"/>
          <w:sz w:val="19"/>
          <w:szCs w:val="19"/>
        </w:rPr>
        <w:t xml:space="preserve">$ 3 741,00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9"/>
          <w:szCs w:val="19"/>
        </w:rPr>
        <w:t xml:space="preserve"> remboursé en </w:t>
      </w:r>
      <w:r>
        <w:rPr>
          <w:rFonts w:ascii="Arial" w:cs="Arial" w:eastAsia="Arial" w:hAnsi="Arial"/>
          <w:b/>
          <w:bCs/>
          <w:i w:val="false"/>
          <w:iCs w:val="false"/>
          <w:color w:val="222222"/>
          <w:sz w:val="19"/>
          <w:szCs w:val="19"/>
        </w:rPr>
        <w:t xml:space="preserve">3 mensualités égales de $ 1 247,00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9"/>
          <w:szCs w:val="19"/>
        </w:rPr>
        <w:t xml:space="preserve">.</w:t>
      </w:r>
    </w:p>
    <w:p>
      <w:pPr>
        <w:pBdr>
          <w:bottom w:val="single" w:color="1E3A5F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ARTICLE 4 — MODALITÉS DE PAIEMENT</w:t>
      </w:r>
    </w:p>
    <w:p>
      <w:pPr>
        <w:spacing w:before="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0"/>
          <w:szCs w:val="20"/>
        </w:rPr>
        <w:t xml:space="preserve">4.1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Les paiements sont dus aux dates convenues. Tout retard de paiement supérieur à </w:t>
      </w:r>
      <w:r>
        <w:rPr>
          <w:rFonts w:ascii="Arial" w:cs="Arial" w:eastAsia="Arial" w:hAnsi="Arial"/>
          <w:b/>
          <w:bCs/>
          <w:i w:val="false"/>
          <w:iCs w:val="false"/>
          <w:color w:val="222222"/>
          <w:sz w:val="20"/>
          <w:szCs w:val="20"/>
        </w:rPr>
        <w:t xml:space="preserve">7 jours calendaires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 entraîne la suspension des travaux jusqu'à régularisation.</w:t>
      </w:r>
    </w:p>
    <w:p>
      <w:pPr>
        <w:spacing w:before="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0"/>
          <w:szCs w:val="20"/>
        </w:rPr>
        <w:t xml:space="preserve">4.2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Les paiements sont effectués par virement bancaire, PayPal, Zelle ou tout autre moyen convenu par écrit entre les parties.</w:t>
      </w:r>
    </w:p>
    <w:p>
      <w:pPr>
        <w:spacing w:before="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0"/>
          <w:szCs w:val="20"/>
        </w:rPr>
        <w:t xml:space="preserve">4.3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Tout retard de paiement au-delà de 14 jours entraîne des pénalités de retard de </w:t>
      </w:r>
      <w:r>
        <w:rPr>
          <w:rFonts w:ascii="Arial" w:cs="Arial" w:eastAsia="Arial" w:hAnsi="Arial"/>
          <w:b/>
          <w:bCs/>
          <w:i w:val="false"/>
          <w:iCs w:val="false"/>
          <w:color w:val="222222"/>
          <w:sz w:val="20"/>
          <w:szCs w:val="20"/>
        </w:rPr>
        <w:t xml:space="preserve">1,5% par mois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 sur le montant dû.</w:t>
      </w:r>
    </w:p>
    <w:p>
      <w:pPr>
        <w:spacing w:before="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0"/>
          <w:szCs w:val="20"/>
        </w:rPr>
        <w:t xml:space="preserve">4.4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L'avance de $ 800,00 est non remboursable une fois les travaux de développement débutés.</w:t>
      </w:r>
    </w:p>
    <w:p>
      <w:pPr>
        <w:spacing w:before="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0"/>
          <w:szCs w:val="20"/>
        </w:rPr>
        <w:t xml:space="preserve">4.5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Le montant total de </w:t>
      </w:r>
      <w:r>
        <w:rPr>
          <w:rFonts w:ascii="Arial" w:cs="Arial" w:eastAsia="Arial" w:hAnsi="Arial"/>
          <w:b/>
          <w:bCs/>
          <w:i w:val="false"/>
          <w:iCs w:val="false"/>
          <w:color w:val="1E3A5F"/>
          <w:sz w:val="20"/>
          <w:szCs w:val="20"/>
        </w:rPr>
        <w:t xml:space="preserve">$ 4 541,00 est indiqué hors taxes (HT)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. Toute taxe applicable (sales tax, TVA ou autre taxe locale) selon la législation en vigueur sera facturée en supplément et reste à la charge exclusive du Client.</w:t>
      </w:r>
    </w:p>
    <w:p>
      <w:pPr>
        <w:spacing w:before="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0"/>
          <w:szCs w:val="20"/>
        </w:rPr>
        <w:t xml:space="preserve">4.6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Les coûts des </w:t>
      </w:r>
      <w:r>
        <w:rPr>
          <w:rFonts w:ascii="Arial" w:cs="Arial" w:eastAsia="Arial" w:hAnsi="Arial"/>
          <w:b/>
          <w:bCs/>
          <w:i w:val="false"/>
          <w:iCs w:val="false"/>
          <w:color w:val="222222"/>
          <w:sz w:val="20"/>
          <w:szCs w:val="20"/>
        </w:rPr>
        <w:t xml:space="preserve">services tiers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 ne sont pas inclus dans le présent contrat et sont entièrement à la charge du Client. Cela comprend notamment, sans s'y limiter :</w:t>
      </w:r>
    </w:p>
    <w:p>
      <w:pPr>
        <w:spacing w:before="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9"/>
          <w:szCs w:val="19"/>
        </w:rPr>
        <w:t xml:space="preserve">        —  Hébergement &amp; serveurs (Google Cloud, AWS, VPS ou équivalent)</w:t>
      </w:r>
    </w:p>
    <w:p>
      <w:pPr>
        <w:spacing w:before="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9"/>
          <w:szCs w:val="19"/>
        </w:rPr>
        <w:t xml:space="preserve">        —  Base de données cloud (Firebase, Supabase, MongoDB Atlas ou équivalent)</w:t>
      </w:r>
    </w:p>
    <w:p>
      <w:pPr>
        <w:spacing w:before="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9"/>
          <w:szCs w:val="19"/>
        </w:rPr>
        <w:t xml:space="preserve">        —  Compte développeur Apple App Store ($ 99/an) et Google Play Store ($ 25 unique)</w:t>
      </w:r>
    </w:p>
    <w:p>
      <w:pPr>
        <w:spacing w:before="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9"/>
          <w:szCs w:val="19"/>
        </w:rPr>
        <w:t xml:space="preserve">        —  Frais de transaction et abonnement Stripe / Stripe Connect</w:t>
      </w:r>
    </w:p>
    <w:p>
      <w:pPr>
        <w:spacing w:before="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9"/>
          <w:szCs w:val="19"/>
        </w:rPr>
        <w:t xml:space="preserve">        —  Licences Google Maps API, AdMob et autres services Google Cloud</w:t>
      </w:r>
    </w:p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9"/>
          <w:szCs w:val="19"/>
        </w:rPr>
        <w:t xml:space="preserve">        —  Nom de domaine et certificat SSL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9"/>
          <w:szCs w:val="19"/>
        </w:rPr>
        <w:t xml:space="preserve">Le Prestataire pourra accompagner le Client dans la configuration de ces services, mais leur coût financier reste entièrement à la charge du Client.</w:t>
      </w:r>
    </w:p>
    <w:p>
      <w:pPr>
        <w:pBdr>
          <w:bottom w:val="single" w:color="1E3A5F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ARTICLE 5 — DÉLAIS ET LIVRAISON</w:t>
      </w:r>
    </w:p>
    <w:p>
      <w:pPr>
        <w:spacing w:before="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0"/>
          <w:szCs w:val="20"/>
        </w:rPr>
        <w:t xml:space="preserve">5.1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Le Prestataire s'engage à livrer le projet dans un délai estimé de </w:t>
      </w:r>
      <w:r>
        <w:rPr>
          <w:rFonts w:ascii="Arial" w:cs="Arial" w:eastAsia="Arial" w:hAnsi="Arial"/>
          <w:b/>
          <w:bCs/>
          <w:i w:val="false"/>
          <w:iCs w:val="false"/>
          <w:color w:val="222222"/>
          <w:sz w:val="20"/>
          <w:szCs w:val="20"/>
        </w:rPr>
        <w:t xml:space="preserve">10 à 14 semaines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 à compter de la réception de l'avance.</w:t>
      </w:r>
    </w:p>
    <w:p>
      <w:pPr>
        <w:spacing w:before="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0"/>
          <w:szCs w:val="20"/>
        </w:rPr>
        <w:t xml:space="preserve">5.2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Un support technique de </w:t>
      </w:r>
      <w:r>
        <w:rPr>
          <w:rFonts w:ascii="Arial" w:cs="Arial" w:eastAsia="Arial" w:hAnsi="Arial"/>
          <w:b/>
          <w:bCs/>
          <w:i w:val="false"/>
          <w:iCs w:val="false"/>
          <w:color w:val="222222"/>
          <w:sz w:val="20"/>
          <w:szCs w:val="20"/>
        </w:rPr>
        <w:t xml:space="preserve">30 jours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 est inclus après la livraison finale, couvrant les corrections de bugs uniquement.</w:t>
      </w:r>
    </w:p>
    <w:p>
      <w:pPr>
        <w:spacing w:before="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0"/>
          <w:szCs w:val="20"/>
        </w:rPr>
        <w:t xml:space="preserve">5.3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Toute demande de modification majeure du cahier des charges initial fera l'objet d'un avenant tarifaire signé par les deux parties.</w:t>
      </w:r>
    </w:p>
    <w:p>
      <w:pPr>
        <w:pBdr>
          <w:bottom w:val="single" w:color="1E3A5F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ARTICLE 6 — PROPRIÉTÉ INTELLECTUELLE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Le code source, les maquettes et l'ensemble des livrables du projet deviennent la propriété exclusive du Client uniquement après le </w:t>
      </w:r>
      <w:r>
        <w:rPr>
          <w:rFonts w:ascii="Arial" w:cs="Arial" w:eastAsia="Arial" w:hAnsi="Arial"/>
          <w:b/>
          <w:bCs/>
          <w:i w:val="false"/>
          <w:iCs w:val="false"/>
          <w:color w:val="222222"/>
          <w:sz w:val="20"/>
          <w:szCs w:val="20"/>
        </w:rPr>
        <w:t xml:space="preserve">paiement intégral du montant total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 de $ 4 541,00. Avant ce paiement complet, le Prestataire conserve tous les droits sur les livrables.</w:t>
      </w:r>
    </w:p>
    <w:p>
      <w:pPr>
        <w:pBdr>
          <w:bottom w:val="single" w:color="1E3A5F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ARTICLE 7 — RÉSILIATION</w:t>
      </w:r>
    </w:p>
    <w:p>
      <w:pPr>
        <w:spacing w:before="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0"/>
          <w:szCs w:val="20"/>
        </w:rPr>
        <w:t xml:space="preserve">7.1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En cas de résiliation à l'initiative du Client, les sommes déjà versées sont acquises au Prestataire à titre de dédommagement pour les travaux réalisés.</w:t>
      </w:r>
    </w:p>
    <w:p>
      <w:pPr>
        <w:spacing w:before="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0"/>
          <w:szCs w:val="20"/>
        </w:rPr>
        <w:t xml:space="preserve">7.2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En cas de manquement grave du Prestataire à ses obligations, le Client peut résilier le contrat et obtenir le remboursement des sommes versées pour les travaux non réalisés, sur présentation d'un constat écrit.</w:t>
      </w:r>
    </w:p>
    <w:p>
      <w:pPr>
        <w:pBdr>
          <w:bottom w:val="single" w:color="1E3A5F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ARTICLE 8 — LOI APPLICABLE &amp; JURIDICTION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Le présent contrat est régi par les lois de l'</w:t>
      </w:r>
      <w:r>
        <w:rPr>
          <w:rFonts w:ascii="Arial" w:cs="Arial" w:eastAsia="Arial" w:hAnsi="Arial"/>
          <w:b/>
          <w:bCs/>
          <w:i w:val="false"/>
          <w:iCs w:val="false"/>
          <w:color w:val="222222"/>
          <w:sz w:val="20"/>
          <w:szCs w:val="20"/>
        </w:rPr>
        <w:t xml:space="preserve">État du Texas, États-Unis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. Tout litige sera soumis à la juridiction compétente du comté de Harris, Texas.</w:t>
      </w:r>
    </w:p>
    <w:p>
      <w:pPr>
        <w:pBdr>
          <w:bottom w:val="single" w:color="1E3A5F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ARTICLE 9 — SIGNATURES</w:t>
      </w:r>
    </w:p>
    <w:p>
      <w:pPr>
        <w:spacing w:before="0" w:after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Les parties reconnaissent avoir lu et approuvé l'ensemble des clauses du présent contrat et s'engagent à en respecter les termes.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LE PRESTATAIRE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Joel Computech Solution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19240 Stokes Rd #213, Waller, TX 77484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Nom &amp; Prénom : ___________________________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 : ___________________________________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Signature :</w:t>
            </w:r>
          </w:p>
          <w:p>
            <w:pPr>
              <w:pBdr>
                <w:bottom w:val="single" w:color="999999" w:sz="2" w:space="1"/>
              </w:pBdr>
              <w:spacing w:before="56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LE CLIENT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___________________________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___________________________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Nom &amp; Prénom : ___________________________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 : ___________________________________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Signature :</w:t>
            </w:r>
          </w:p>
          <w:p>
            <w:pPr>
              <w:pBdr>
                <w:bottom w:val="single" w:color="999999" w:sz="2" w:space="1"/>
              </w:pBdr>
              <w:spacing w:before="56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pBdr>
          <w:top w:val="single" w:color="2E6DA4" w:sz="4" w:space="1"/>
        </w:pBdr>
        <w:spacing w:before="300" w:after="60"/>
        <w:jc w:val="center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Joel Computech Solution  •  19240 Stokes Rd #213, Waller, Texas 77484  •  Contrat N° CONT-2026-0318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2026-03-18T20:44:43.363Z</dcterms:created>
  <dcterms:modified xsi:type="dcterms:W3CDTF">2026-03-18T20:44:43.364Z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