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f93d8201" w14:paraId="f93d8201">
      <w:pPr>
        <w:pStyle w:val="Titre1"/>
        <w15:collapsed w:val="false"/>
      </w:pPr>
      <w:r>
        <w:t xml:space="preserve">This is a title 1 </w:t>
      </w:r>
    </w:p>
    <w:p>
      <w:pPr>
        <w:pBdr/>
        <w:spacing w:after="20" w:before="20"/>
        <w:ind w:right="20" w:left="0"/>
        <w:jc w:val="both"/>
      </w:pPr>
      <w:r>
        <w:rPr>
          <w:rFonts w:cs="Arial" w:hAnsi="Arial" w:ascii="Arial"/>
          <w:color w:val="#000000"/>
          <w:sz w:val="20"/>
        </w:rPr>
        <w:t xml:space="preserve">This is a link to the </w:t>
      </w:r>
      <w:hyperlink r:id="rId10" w:history="true">
        <w:r>
          <w:rPr>
            <w:rFonts w:cs="Arial" w:hAnsi="Arial" w:ascii="Arial"/>
            <w:color w:val="#428BCA"/>
            <w:sz w:val="20"/>
            <w:u w:val="single"/>
          </w:rPr>
          <w:t xml:space="preserve">cran</w:t>
        </w:r>
      </w:hyperlink>
      <w:r>
        <w:rPr>
          <w:rFonts w:cs="Arial" w:hAnsi="Arial" w:ascii="Arial"/>
          <w:color w:val="#000000"/>
          <w:sz w:val="20"/>
        </w:rPr>
        <w:t xml:space="preserve">. </w:t>
      </w:r>
    </w:p>
    <w:p>
      <w:pPr>
        <w:pBdr/>
        <w:spacing w:after="20" w:before="20"/>
        <w:ind w:right="20" w:left="0"/>
        <w:jc w:val="both"/>
      </w:pPr>
      <w:r>
        <w:rPr>
          <w:rFonts w:cs="Arial" w:hAnsi="Arial" w:ascii="Arial"/>
          <w:color w:val="#000000"/>
          <w:sz w:val="20"/>
        </w:rPr>
        <w:t xml:space="preserve">This paragraph demonstrates note usage</w:t>
      </w:r>
      <w:r>
        <w:rPr>
          <w:rFonts w:cs="Arial" w:hAnsi="Arial" w:ascii="Arial"/>
          <w:color w:val="#000000"/>
          <w:sz w:val="20"/>
          <w:vertAlign w:val="superscript"/>
        </w:rPr>
        <w:t xml:space="preserve"/>
      </w:r>
      <w:r>
        <w:rPr>
          <w:rFonts w:cs="Arial" w:hAnsi="Arial" w:ascii="Arial"/>
          <w:color w:val="#000000"/>
          <w:sz w:val="20"/>
          <w:vertAlign w:val="superscript"/>
        </w:rPr>
        <w:footnoteReference w:id="3"/>
      </w:r>
      <w:r>
        <w:rPr>
          <w:rFonts w:cs="Arial" w:hAnsi="Arial" w:ascii="Arial"/>
          <w:color w:val="#000000"/>
          <w:sz w:val="20"/>
        </w:rPr>
        <w:t xml:space="preserve">. It also show an example of reference link like this one: </w:t>
      </w:r>
      <w:hyperlink r:id="rId11" w:history="true">
        <w:r>
          <w:rPr>
            <w:rFonts w:cs="Arial" w:hAnsi="Arial" w:ascii="Arial"/>
            <w:color w:val="#428BCA"/>
            <w:sz w:val="20"/>
            <w:u w:val="single"/>
          </w:rPr>
          <w:t xml:space="preserve">DaringFireball</w:t>
        </w:r>
      </w:hyperlink>
      <w:r>
        <w:rPr>
          <w:rFonts w:cs="Arial" w:hAnsi="Arial" w:ascii="Arial"/>
          <w:color w:val="#000000"/>
          <w:sz w:val="20"/>
        </w:rPr>
        <w:t xml:space="preserve">. </w:t>
      </w:r>
    </w:p>
    <w:p>
      <w:pPr>
        <w:pStyle w:val="Titre2"/>
      </w:pPr>
      <w:r>
        <w:t xml:space="preserve">This is a title 1.1 </w:t>
      </w:r>
    </w:p>
    <w:p>
      <w:pPr>
        <w:pBdr/>
        <w:spacing w:after="20" w:before="20"/>
        <w:ind w:right="20" w:left="0"/>
        <w:jc w:val="both"/>
      </w:pPr>
      <w:r>
        <w:rPr>
          <w:rFonts w:cs="Arial" w:hAnsi="Arial" w:ascii="Arial"/>
          <w:color w:val="#000000"/>
          <w:sz w:val="20"/>
        </w:rPr>
        <w:t xml:space="preserve">Ex turba vero imae sortis et paupertinae in tabernis aliqui pernoctant vinariis, non nulli velariis umbraculorum theatralium latent, quae Campanam imitatus lasciviam Catulus in aedilitate sua suspendit omnium primus </w:t>
      </w:r>
    </w:p>
    <w:p>
      <w:pPr>
        <w:pBdr/>
        <w:spacing w:after="20" w:before="20"/>
        <w:ind w:right="20" w:left="0"/>
        <w:jc w:val="both"/>
      </w:pPr>
      <w:r>
        <w:rPr>
          <w:rFonts w:cs="Arial" w:hAnsi="Arial" w:ascii="Arial"/>
          <w:color w:val="#000000"/>
          <w:sz w:val="20"/>
        </w:rPr>
        <w:t xml:space="preserve">Aut pugnaciter aleis certant turpi sono fragosis naribus introrsum reducto spiritu concrepantes; aut quod est studiorum omnium maximum ab ortu lucis ad vesperam sole fatiscunt vel pluviis, per minutias aurigarum equorumque praecipua vel delicta scrutantes. </w:t>
      </w:r>
    </w:p>
    <w:p>
      <w:pPr>
        <w:pBdr/>
        <w:spacing w:after="20" w:before="20"/>
        <w:ind w:right="20" w:left="0"/>
        <w:jc w:val="both"/>
      </w:pPr>
      <w:r>
        <w:rPr>
          <w:rFonts w:cs="Arial" w:hAnsi="Arial" w:ascii="Arial"/>
          <w:color w:val="#000000"/>
          <w:sz w:val="20"/>
        </w:rPr>
        <w:t xml:space="preserve">Paragraphs must be separated by a blank line. Basic formatting of </w:t>
      </w:r>
      <w:r>
        <w:rPr>
          <w:rFonts w:cs="Arial" w:hAnsi="Arial" w:ascii="Arial"/>
          <w:i w:val="true"/>
          <w:color w:val="#000000"/>
          <w:sz w:val="20"/>
        </w:rPr>
        <w:t xml:space="preserve">italics</w:t>
      </w:r>
      <w:r>
        <w:rPr>
          <w:rFonts w:cs="Arial" w:hAnsi="Arial" w:ascii="Arial"/>
          <w:color w:val="#000000"/>
          <w:sz w:val="20"/>
        </w:rPr>
        <w:t xml:space="preserve"> and </w:t>
      </w:r>
      <w:r>
        <w:rPr>
          <w:rFonts w:cs="Arial" w:hAnsi="Arial" w:ascii="Arial"/>
          <w:b w:val="true"/>
          <w:color w:val="#000000"/>
          <w:sz w:val="20"/>
        </w:rPr>
        <w:t xml:space="preserve">bold</w:t>
      </w:r>
      <w:r>
        <w:rPr>
          <w:rFonts w:cs="Arial" w:hAnsi="Arial" w:ascii="Arial"/>
          <w:color w:val="#000000"/>
          <w:sz w:val="20"/>
        </w:rPr>
        <w:t xml:space="preserve"> is supported. This </w:t>
      </w:r>
      <w:r>
        <w:rPr>
          <w:rFonts w:cs="Arial" w:hAnsi="Arial" w:ascii="Arial"/>
          <w:i w:val="true"/>
          <w:color w:val="#000000"/>
          <w:sz w:val="20"/>
        </w:rPr>
        <w:t xml:space="preserve">can be </w:t>
      </w:r>
      <w:r>
        <w:rPr>
          <w:rFonts w:cs="Arial" w:hAnsi="Arial" w:ascii="Arial"/>
          <w:b w:val="true"/>
          <w:i w:val="true"/>
          <w:color w:val="#000000"/>
          <w:sz w:val="20"/>
        </w:rPr>
        <w:t xml:space="preserve">nested</w:t>
      </w:r>
      <w:r>
        <w:rPr>
          <w:rFonts w:cs="Arial" w:hAnsi="Arial" w:ascii="Arial"/>
          <w:i w:val="true"/>
          <w:color w:val="#000000"/>
          <w:sz w:val="20"/>
        </w:rPr>
        <w:t xml:space="preserve"> like</w:t>
      </w:r>
      <w:r>
        <w:rPr>
          <w:rFonts w:cs="Arial" w:hAnsi="Arial" w:ascii="Arial"/>
          <w:color w:val="#000000"/>
          <w:sz w:val="20"/>
        </w:rPr>
        <w:t xml:space="preserve"> so. Formatting of </w:t>
      </w:r>
      <w:r>
        <w:rPr>
          <w:rFonts w:cs="Arial" w:hAnsi="Arial" w:ascii="Arial"/>
          <w:color w:val="#C7254E"/>
          <w:sz w:val="20"/>
          <w:shd w:fill="#F9F2F4"/>
        </w:rPr>
        <w:t xml:space="preserve">backtick</w:t>
      </w:r>
      <w:r>
        <w:rPr>
          <w:rFonts w:cs="Arial" w:hAnsi="Arial" w:ascii="Arial"/>
          <w:color w:val="#000000"/>
          <w:sz w:val="20"/>
        </w:rPr>
        <w:t xml:space="preserve"> is also supported. </w:t>
      </w:r>
    </w:p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id="-1" w:type="separator">
    <w:p w:rsidRDefault="00DC6002" w:rsidP="00450C03" w:rsidR="00DC6002">
      <w:pPr>
        <w:spacing w:lineRule="auto" w:line="240" w:after="0"/>
      </w:pPr>
      <w:r>
        <w:separator/>
      </w:r>
    </w:p>
  </w:footnote>
  <w:footnote w:id="0" w:type="continuationSeparator">
    <w:p w:rsidRDefault="00DC6002" w:rsidP="00450C03" w:rsidR="00DC6002">
      <w:pPr>
        <w:spacing w:lineRule="auto" w:line="240" w:after="0"/>
      </w:pPr>
      <w:r>
        <w:continuationSeparator/>
      </w:r>
    </w:p>
  </w:footnote>
  <w:footnote w:id="3">
    <w:p>
      <w:pPr>
        <w:pBdr/>
        <w:spacing w:after="20" w:before="20"/>
        <w:ind w:right="20" w:left="0"/>
        <w:jc w:val="both"/>
      </w:pPr>
      <w:r>
        <w:rPr>
          <w:rFonts w:cs="Arial" w:hAnsi="Arial" w:ascii="Arial"/>
          <w:color w:val="#000000"/>
          <w:sz w:val="20"/>
          <w:vertAlign w:val="superscript"/>
        </w:rPr>
        <w:footnoteRef/>
      </w:r>
      <w:r>
        <w:rPr>
          <w:rFonts w:cs="Arial" w:hAnsi="Arial" w:ascii="Arial"/>
          <w:color w:val="#000000"/>
          <w:sz w:val="20"/>
        </w:rPr>
        <w:t xml:space="preserve">Here's a note with multiple blocks. </w:t>
      </w:r>
    </w:p>
    <w:p>
      <w:pPr>
        <w:pBdr/>
        <w:spacing w:after="20" w:before="20"/>
        <w:ind w:right="20" w:left="0"/>
        <w:jc w:val="both"/>
      </w:pPr>
      <w:r>
        <w:rPr>
          <w:rFonts w:cs="Arial" w:hAnsi="Arial" w:ascii="Arial"/>
          <w:color w:val="#000000"/>
          <w:sz w:val="20"/>
        </w:rPr>
        <w:t xml:space="preserve">This paragraph is indented and belongs to the previous footnote. </w:t>
      </w:r>
    </w:p>
    <w:p>
      <w:pPr>
        <w:pBdr/>
        <w:spacing w:after="20" w:before="20"/>
        <w:ind w:right="20" w:left="0"/>
        <w:jc w:val="both"/>
      </w:pPr>
      <w:r>
        <w:rPr>
          <w:rFonts w:cs="Arial" w:hAnsi="Arial" w:ascii="Arial"/>
          <w:color w:val="#000000"/>
          <w:sz w:val="20"/>
        </w:rPr>
        <w:t xml:space="preserve">This paragraph also belongs to the previous footnote. In this way, multi-paragraph footnotes work like multi-paragraph list items. </w:t>
      </w:r>
    </w:p>
    <w:p>
      <w:pPr>
        <w:pBdr/>
        <w:spacing w:after="20" w:before="20"/>
        <w:ind w:right="20" w:left="20"/>
        <w:jc w:val="left"/>
      </w:pPr>
      <w:r>
        <w:rPr>
          <w:rFonts w:cs="Arial" w:hAnsi="Arial" w:ascii="Arial"/>
          <w:color w:val="#000000"/>
          <w:sz w:val="20"/>
        </w:rPr>
        <w:t xml:space="preserve"/>
      </w:r>
      <w:r>
        <w:rPr>
          <w:rFonts w:cs="Arial" w:hAnsi="Arial" w:ascii="Arial"/>
          <w:color w:val="#0000FF"/>
          <w:sz w:val="20"/>
        </w:rPr>
        <w:t xml:space="preserve">ls</w:t>
      </w:r>
      <w:r>
        <w:rPr>
          <w:rFonts w:cs="Arial" w:hAnsi="Arial" w:ascii="Arial"/>
          <w:color w:val="#000000"/>
          <w:sz w:val="20"/>
        </w:rPr>
        <w:t xml:space="preserve">(</w:t>
      </w:r>
      <w:r>
        <w:rPr>
          <w:rFonts w:cs="Arial" w:hAnsi="Arial" w:ascii="Arial"/>
          <w:color w:val="#000000"/>
          <w:sz w:val="20"/>
        </w:rPr>
        <w:t xml:space="preserve">)</w:t>
      </w:r>
    </w:p>
    <w:p>
      <w:pPr>
        <w:numPr>
          <w:ilvl w:val="0"/>
          <w:numId w:val="-1"/>
        </w:numPr>
        <w:pBdr/>
        <w:spacing w:after="20" w:before="20"/>
        <w:jc w:val="both"/>
      </w:pPr>
      <w:r>
        <w:rPr>
          <w:rFonts w:cs="Arial" w:hAnsi="Arial" w:ascii="Arial"/>
          <w:color w:val="#000000"/>
          <w:sz w:val="20"/>
        </w:rPr>
        <w:t xml:space="preserve">This list item belongs to the previous footnote. </w:t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1. %2."/>
      <w:lvlJc w:val="left"/>
      <w:pPr>
        <w:ind w:hanging="576" w:left="1296"/>
      </w:pPr>
    </w:lvl>
    <w:lvl w:ilvl="2">
      <w:start w:val="1"/>
      <w:numFmt w:val="decimal"/>
      <w:lvlText w:val="%1. %2. %3."/>
      <w:lvlJc w:val="left"/>
      <w:pPr>
        <w:ind w:hanging="576" w:left="2015"/>
      </w:pPr>
    </w:lvl>
    <w:lvl w:ilvl="3">
      <w:start w:val="1"/>
      <w:numFmt w:val="decimal"/>
      <w:lvlText w:val="%4."/>
      <w:lvlJc w:val="left"/>
      <w:pPr>
        <w:ind w:hanging="576" w:left="2736"/>
      </w:pPr>
    </w:lvl>
    <w:lvl w:ilvl="4">
      <w:start w:val="1"/>
      <w:numFmt w:val="decimal"/>
      <w:lvlText w:val="%5."/>
      <w:lvlJc w:val="left"/>
      <w:pPr>
        <w:ind w:hanging="576" w:left="3456"/>
      </w:pPr>
    </w:lvl>
    <w:lvl w:ilvl="5">
      <w:start w:val="1"/>
      <w:numFmt w:val="decimal"/>
      <w:lvlText w:val="%6."/>
      <w:lvlJc w:val="left"/>
      <w:pPr>
        <w:ind w:hanging="576" w:left="4176"/>
      </w:pPr>
    </w:lvl>
    <w:lvl w:ilvl="6">
      <w:start w:val="1"/>
      <w:numFmt w:val="decimal"/>
      <w:lvlText w:val="%7."/>
      <w:lvlJc w:val="left"/>
      <w:pPr>
        <w:ind w:hanging="576" w:left="4896"/>
      </w:pPr>
    </w:lvl>
    <w:lvl w:ilvl="7">
      <w:start w:val="1"/>
      <w:numFmt w:val="decimal"/>
      <w:lvlText w:val="%8."/>
      <w:lvlJc w:val="left"/>
      <w:pPr>
        <w:ind w:hanging="576" w:left="5616"/>
      </w:pPr>
    </w:lvl>
    <w:lvl w:ilvl="8">
      <w:start w:val="1"/>
      <w:numFmt w:val="decimal"/>
      <w:lvlText w:val="%9."/>
      <w:lvlJc w:val="left"/>
      <w:pPr>
        <w:ind w:hanging="576" w:left="633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∎ "/>
      <w:lvlJc w:val="left"/>
      <w:pPr>
        <w:ind w:hanging="576" w:left="1296"/>
      </w:pPr>
    </w:lvl>
    <w:lvl w:ilvl="2">
      <w:start w:val="1"/>
      <w:numFmt w:val="bullet"/>
      <w:lvlText w:val="○ "/>
      <w:lvlJc w:val="left"/>
      <w:pPr>
        <w:ind w:hanging="576" w:left="2015"/>
      </w:pPr>
    </w:lvl>
    <w:lvl w:ilvl="3">
      <w:start w:val="1"/>
      <w:numFmt w:val="bullet"/>
      <w:lvlText w:val="● "/>
      <w:lvlJc w:val="left"/>
      <w:pPr>
        <w:ind w:hanging="576" w:left="2736"/>
      </w:pPr>
    </w:lvl>
    <w:lvl w:ilvl="4">
      <w:start w:val="1"/>
      <w:numFmt w:val="bullet"/>
      <w:lvlText w:val="∎ "/>
      <w:lvlJc w:val="left"/>
      <w:pPr>
        <w:ind w:hanging="576" w:left="3456"/>
      </w:pPr>
    </w:lvl>
    <w:lvl w:ilvl="5">
      <w:start w:val="1"/>
      <w:numFmt w:val="bullet"/>
      <w:lvlText w:val="○ "/>
      <w:lvlJc w:val="left"/>
      <w:pPr>
        <w:ind w:hanging="576" w:left="4176"/>
      </w:pPr>
    </w:lvl>
    <w:lvl w:ilvl="6">
      <w:start w:val="1"/>
      <w:numFmt w:val="bullet"/>
      <w:lvlText w:val="● "/>
      <w:lvlJc w:val="left"/>
      <w:pPr>
        <w:ind w:hanging="576" w:left="4896"/>
      </w:pPr>
    </w:lvl>
    <w:lvl w:ilvl="7">
      <w:start w:val="1"/>
      <w:numFmt w:val="bullet"/>
      <w:lvlText w:val="∎ "/>
      <w:lvlJc w:val="left"/>
      <w:pPr>
        <w:ind w:hanging="576" w:left="5616"/>
      </w:pPr>
    </w:lvl>
    <w:lvl w:ilvl="8">
      <w:start w:val="1"/>
      <w:numFmt w:val="bullet"/>
      <w:lvlText w:val="○ "/>
      <w:lvlJc w:val="left"/>
      <w:pPr>
        <w:ind w:hanging="576" w:left="633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Relationship Id="rId10" Type="http://schemas.openxmlformats.org/officeDocument/2006/relationships/hyperlink" Target="http://cran.r-project.org/" TargetMode="External"/><Relationship Id="rId11" Type="http://schemas.openxmlformats.org/officeDocument/2006/relationships/hyperlink" Target="http://daringfireball.net/projects/markdown/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