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1d09070" w14:textId="d1d09070">
      <w:pPr>
        <w:pStyle w:val="Titre1"/>
        <w15:collapsed w:val="false"/>
      </w:pPr>
      <w:r>
        <w:t xml:space="preserve">This is a title 1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This is a link to the </w:t>
      </w:r>
      <w:hyperlink w:history="true" r:id="rId10">
        <w:r>
          <w:rPr>
            <w:rFonts w:ascii="Arial" w:hAnsi="Arial" w:cs="Arial"/>
            <w:color w:val="#428BCA"/>
            <w:sz w:val="20"/>
            <w:u w:val="single"/>
          </w:rPr>
          <w:t xml:space="preserve">cran</w:t>
        </w:r>
      </w:hyperlink>
      <w:r>
        <w:rPr>
          <w:rFonts w:ascii="Arial" w:hAnsi="Arial" w:cs="Arial"/>
          <w:color w:val="#000000"/>
          <w:sz w:val="20"/>
        </w:rPr>
        <w:t xml:space="preserve">.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This paragraph demonstrates note usage</w:t>
      </w:r>
      <w:r>
        <w:rPr>
          <w:rFonts w:ascii="Arial" w:hAnsi="Arial" w:cs="Arial"/>
          <w:color w:val="#000000"/>
          <w:sz w:val="20"/>
          <w:vertAlign w:val="superscript"/>
        </w:rPr>
        <w:t xml:space="preserve"/>
      </w:r>
      <w:r>
        <w:rPr>
          <w:rFonts w:ascii="Arial" w:hAnsi="Arial" w:cs="Arial"/>
          <w:color w:val="#000000"/>
          <w:sz w:val="20"/>
          <w:vertAlign w:val="superscript"/>
        </w:rPr>
        <w:footnoteReference w:id="3"/>
      </w:r>
      <w:r>
        <w:rPr>
          <w:rFonts w:ascii="Arial" w:hAnsi="Arial" w:cs="Arial"/>
          <w:color w:val="#000000"/>
          <w:sz w:val="20"/>
        </w:rPr>
        <w:t xml:space="preserve">. It also show an example of reference link like this one: </w:t>
      </w:r>
      <w:hyperlink w:history="true" r:id="rId11">
        <w:r>
          <w:rPr>
            <w:rFonts w:ascii="Arial" w:hAnsi="Arial" w:cs="Arial"/>
            <w:color w:val="#428BCA"/>
            <w:sz w:val="20"/>
            <w:u w:val="single"/>
          </w:rPr>
          <w:t xml:space="preserve">DaringFireball</w:t>
        </w:r>
      </w:hyperlink>
      <w:r>
        <w:rPr>
          <w:rFonts w:ascii="Arial" w:hAnsi="Arial" w:cs="Arial"/>
          <w:color w:val="#000000"/>
          <w:sz w:val="20"/>
        </w:rPr>
        <w:t xml:space="preserve">. </w:t>
      </w:r>
    </w:p>
    <w:p>
      <w:pPr>
        <w:pStyle w:val="Titre2"/>
      </w:pPr>
      <w:r>
        <w:t xml:space="preserve">This is a title 1.1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Ex turba vero imae sortis et paupertinae in tabernis aliqui pernoctant vinariis, non nulli velariis umbraculorum theatralium latent, quae Campanam imitatus lasciviam Catulus in aedilitate sua suspendit omnium primus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Aut pugnaciter aleis certant turpi sono fragosis naribus introrsum reducto spiritu concrepantes; aut quod est studiorum omnium maximum ab ortu lucis ad vesperam sole fatiscunt vel pluviis, per minutias aurigarum equorumque praecipua vel delicta scrutantes.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Paragraphs must be separated by a blank line. Basic formatting of </w:t>
      </w:r>
      <w:r>
        <w:rPr>
          <w:rFonts w:ascii="Arial" w:hAnsi="Arial" w:cs="Arial"/>
          <w:i w:val="true"/>
          <w:color w:val="#000000"/>
          <w:sz w:val="20"/>
        </w:rPr>
        <w:t xml:space="preserve">italics</w:t>
      </w:r>
      <w:r>
        <w:rPr>
          <w:rFonts w:ascii="Arial" w:hAnsi="Arial" w:cs="Arial"/>
          <w:color w:val="#000000"/>
          <w:sz w:val="20"/>
        </w:rPr>
        <w:t xml:space="preserve"> and </w:t>
      </w:r>
      <w:r>
        <w:rPr>
          <w:rFonts w:ascii="Arial" w:hAnsi="Arial" w:cs="Arial"/>
          <w:b w:val="true"/>
          <w:color w:val="#000000"/>
          <w:sz w:val="20"/>
        </w:rPr>
        <w:t xml:space="preserve">bold</w:t>
      </w:r>
      <w:r>
        <w:rPr>
          <w:rFonts w:ascii="Arial" w:hAnsi="Arial" w:cs="Arial"/>
          <w:color w:val="#000000"/>
          <w:sz w:val="20"/>
        </w:rPr>
        <w:t xml:space="preserve"> is supported. This </w:t>
      </w:r>
      <w:r>
        <w:rPr>
          <w:rFonts w:ascii="Arial" w:hAnsi="Arial" w:cs="Arial"/>
          <w:i w:val="true"/>
          <w:color w:val="#000000"/>
          <w:sz w:val="20"/>
        </w:rPr>
        <w:t xml:space="preserve">can be </w:t>
      </w:r>
      <w:r>
        <w:rPr>
          <w:rFonts w:ascii="Arial" w:hAnsi="Arial" w:cs="Arial"/>
          <w:b w:val="true"/>
          <w:i w:val="true"/>
          <w:color w:val="#000000"/>
          <w:sz w:val="20"/>
        </w:rPr>
        <w:t xml:space="preserve">nested</w:t>
      </w:r>
      <w:r>
        <w:rPr>
          <w:rFonts w:ascii="Arial" w:hAnsi="Arial" w:cs="Arial"/>
          <w:i w:val="true"/>
          <w:color w:val="#000000"/>
          <w:sz w:val="20"/>
        </w:rPr>
        <w:t xml:space="preserve"> like</w:t>
      </w:r>
      <w:r>
        <w:rPr>
          <w:rFonts w:ascii="Arial" w:hAnsi="Arial" w:cs="Arial"/>
          <w:color w:val="#000000"/>
          <w:sz w:val="20"/>
        </w:rPr>
        <w:t xml:space="preserve"> so. Formatting of </w:t>
      </w:r>
      <w:r>
        <w:rPr>
          <w:rFonts w:ascii="Arial" w:hAnsi="Arial" w:cs="Arial"/>
          <w:color w:val="#C7254E"/>
          <w:sz w:val="20"/>
          <w:shd w:fill="#F9F2F4"/>
        </w:rPr>
        <w:t xml:space="preserve">backtick</w:t>
      </w:r>
      <w:r>
        <w:rPr>
          <w:rFonts w:ascii="Arial" w:hAnsi="Arial" w:cs="Arial"/>
          <w:color w:val="#000000"/>
          <w:sz w:val="20"/>
        </w:rPr>
        <w:t xml:space="preserve"> is also supported. </w:t>
      </w:r>
    </w:p>
    <w:p>
      <w:pPr>
        <w:pStyle w:val="Titre1"/>
      </w:pPr>
      <w:r>
        <w:t xml:space="preserve">This is a title 2 </w:t>
      </w:r>
    </w:p>
    <w:p>
      <w:pPr>
        <w:pStyle w:val="Titre2"/>
      </w:pPr>
      <w:r>
        <w:t xml:space="preserve">Ordered list </w:t>
      </w:r>
    </w:p>
    <w:p>
      <w:pPr>
        <w:numPr>
          <w:ilvl w:val="0"/>
          <w:numId w:val="18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Item 1 </w:t>
      </w:r>
    </w:p>
    <w:p>
      <w:pPr>
        <w:numPr>
          <w:ilvl w:val="0"/>
          <w:numId w:val="18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A second item </w:t>
      </w:r>
    </w:p>
    <w:p>
      <w:pPr>
        <w:numPr>
          <w:ilvl w:val="0"/>
          <w:numId w:val="18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Number 3 </w:t>
      </w:r>
    </w:p>
    <w:p>
      <w:pPr>
        <w:pStyle w:val="Titre2"/>
      </w:pPr>
      <w:r>
        <w:t xml:space="preserve">Unordered list </w:t>
      </w:r>
    </w:p>
    <w:p>
      <w:pPr>
        <w:numPr>
          <w:ilvl w:val="0"/>
          <w:numId w:val="17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An item </w:t>
      </w:r>
    </w:p>
    <w:p>
      <w:pPr>
        <w:numPr>
          <w:ilvl w:val="0"/>
          <w:numId w:val="17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Another item </w:t>
      </w:r>
    </w:p>
    <w:p>
      <w:pPr>
        <w:numPr>
          <w:ilvl w:val="0"/>
          <w:numId w:val="17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Yet another item </w:t>
      </w:r>
    </w:p>
    <w:p>
      <w:pPr>
        <w:pStyle w:val="Titre1"/>
      </w:pPr>
      <w:r>
        <w:t xml:space="preserve">Code block </w:t>
      </w:r>
    </w:p>
    <w:p>
      <w:pPr>
        <w:pBdr/>
        <w:shd w:fill="#EEEEEE"/>
        <w:spacing w:before="20" w:after="20"/>
        <w:ind w:left="0" w:right="20"/>
        <w:jc w:val="left"/>
      </w:pPr>
      <w:r>
        <w:rPr>
          <w:rFonts w:ascii="Arial" w:hAnsi="Arial" w:cs="Arial"/>
          <w:color w:val="#000000"/>
          <w:sz w:val="20"/>
        </w:rPr>
        <w:t xml:space="preserve"/>
      </w:r>
      <w:r>
        <w:rPr>
          <w:rFonts w:ascii="Arial" w:hAnsi="Arial" w:cs="Arial"/>
          <w:color w:val="#000000"/>
          <w:sz w:val="20"/>
        </w:rPr>
        <w:t xml:space="preserve">x</w:t>
      </w:r>
      <w:r>
        <w:rPr>
          <w:rFonts w:ascii="Arial" w:hAnsi="Arial" w:cs="Arial"/>
          <w:color w:val="#000000"/>
          <w:sz w:val="20"/>
        </w:rPr>
        <w:t xml:space="preserve"> </w:t>
      </w:r>
      <w:r>
        <w:rPr>
          <w:rFonts w:ascii="Arial" w:hAnsi="Arial" w:cs="Arial"/>
          <w:color w:val="#000000"/>
          <w:sz w:val="20"/>
        </w:rPr>
        <w:t xml:space="preserve">=</w:t>
      </w:r>
      <w:r>
        <w:rPr>
          <w:rFonts w:ascii="Arial" w:hAnsi="Arial" w:cs="Arial"/>
          <w:color w:val="#000000"/>
          <w:sz w:val="20"/>
        </w:rPr>
        <w:t xml:space="preserve"> </w:t>
      </w:r>
      <w:r>
        <w:rPr>
          <w:rFonts w:ascii="Arial" w:hAnsi="Arial" w:cs="Arial"/>
          <w:color w:val="#0000FF"/>
          <w:sz w:val="20"/>
        </w:rPr>
        <w:t xml:space="preserve">rnorm</w:t>
      </w:r>
      <w:r>
        <w:rPr>
          <w:rFonts w:ascii="Arial" w:hAnsi="Arial" w:cs="Arial"/>
          <w:color w:val="#000000"/>
          <w:sz w:val="20"/>
        </w:rPr>
        <w:t xml:space="preserve">(</w:t>
      </w:r>
      <w:r>
        <w:rPr>
          <w:rFonts w:ascii="Arial" w:hAnsi="Arial" w:cs="Arial"/>
          <w:color w:val="#000000"/>
          <w:sz w:val="20"/>
        </w:rPr>
        <w:t xml:space="preserve"> </w:t>
      </w:r>
      <w:r>
        <w:rPr>
          <w:rFonts w:ascii="Arial" w:hAnsi="Arial" w:cs="Arial"/>
          <w:color w:val="#0000FF"/>
          <w:sz w:val="20"/>
        </w:rPr>
        <w:t xml:space="preserve">1000</w:t>
      </w:r>
      <w:r>
        <w:rPr>
          <w:rFonts w:ascii="Arial" w:hAnsi="Arial" w:cs="Arial"/>
          <w:color w:val="#000000"/>
          <w:sz w:val="20"/>
        </w:rPr>
        <w:t xml:space="preserve"> </w:t>
      </w:r>
      <w:r>
        <w:rPr>
          <w:rFonts w:ascii="Arial" w:hAnsi="Arial" w:cs="Arial"/>
          <w:color w:val="#000000"/>
          <w:sz w:val="20"/>
        </w:rPr>
        <w:t xml:space="preserve">)</w:t>
      </w:r>
    </w:p>
    <w:p>
      <w:pPr>
        <w:pBdr/>
        <w:shd w:fill="#EEEEEE"/>
        <w:spacing w:before="20" w:after="20"/>
        <w:ind w:left="0" w:right="20"/>
        <w:jc w:val="left"/>
      </w:pPr>
      <w:r>
        <w:rPr>
          <w:rFonts w:ascii="Arial" w:hAnsi="Arial" w:cs="Arial"/>
          <w:color w:val="#000000"/>
          <w:sz w:val="20"/>
        </w:rPr>
        <w:t xml:space="preserve"/>
      </w:r>
      <w:r>
        <w:rPr>
          <w:rFonts w:ascii="Arial" w:hAnsi="Arial" w:cs="Arial"/>
          <w:color w:val="#0000FF"/>
          <w:sz w:val="20"/>
        </w:rPr>
        <w:t xml:space="preserve">plot</w:t>
      </w:r>
      <w:r>
        <w:rPr>
          <w:rFonts w:ascii="Arial" w:hAnsi="Arial" w:cs="Arial"/>
          <w:color w:val="#000000"/>
          <w:sz w:val="20"/>
        </w:rPr>
        <w:t xml:space="preserve">(</w:t>
      </w:r>
      <w:r>
        <w:rPr>
          <w:rFonts w:ascii="Arial" w:hAnsi="Arial" w:cs="Arial"/>
          <w:color w:val="#000000"/>
          <w:sz w:val="20"/>
        </w:rPr>
        <w:t xml:space="preserve"> </w:t>
      </w:r>
      <w:r>
        <w:rPr>
          <w:rFonts w:ascii="Arial" w:hAnsi="Arial" w:cs="Arial"/>
          <w:color w:val="#0000FF"/>
          <w:sz w:val="20"/>
        </w:rPr>
        <w:t xml:space="preserve">density</w:t>
      </w:r>
      <w:r>
        <w:rPr>
          <w:rFonts w:ascii="Arial" w:hAnsi="Arial" w:cs="Arial"/>
          <w:color w:val="#000000"/>
          <w:sz w:val="20"/>
        </w:rPr>
        <w:t xml:space="preserve">(</w:t>
      </w:r>
      <w:r>
        <w:rPr>
          <w:rFonts w:ascii="Arial" w:hAnsi="Arial" w:cs="Arial"/>
          <w:color w:val="#000000"/>
          <w:sz w:val="20"/>
        </w:rPr>
        <w:t xml:space="preserve"> </w:t>
      </w:r>
      <w:r>
        <w:rPr>
          <w:rFonts w:ascii="Arial" w:hAnsi="Arial" w:cs="Arial"/>
          <w:color w:val="#000000"/>
          <w:sz w:val="20"/>
        </w:rPr>
        <w:t xml:space="preserve">x</w:t>
      </w:r>
      <w:r>
        <w:rPr>
          <w:rFonts w:ascii="Arial" w:hAnsi="Arial" w:cs="Arial"/>
          <w:color w:val="#000000"/>
          <w:sz w:val="20"/>
        </w:rPr>
        <w:t xml:space="preserve"> </w:t>
      </w:r>
      <w:r>
        <w:rPr>
          <w:rFonts w:ascii="Arial" w:hAnsi="Arial" w:cs="Arial"/>
          <w:color w:val="#000000"/>
          <w:sz w:val="20"/>
        </w:rPr>
        <w:t xml:space="preserve">)</w:t>
      </w:r>
      <w:r>
        <w:rPr>
          <w:rFonts w:ascii="Arial" w:hAnsi="Arial" w:cs="Arial"/>
          <w:color w:val="#000000"/>
          <w:sz w:val="20"/>
        </w:rPr>
        <w:t xml:space="preserve"> </w:t>
      </w:r>
      <w:r>
        <w:rPr>
          <w:rFonts w:ascii="Arial" w:hAnsi="Arial" w:cs="Arial"/>
          <w:color w:val="#000000"/>
          <w:sz w:val="20"/>
        </w:rPr>
        <w:t xml:space="preserve">)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You can also make </w:t>
      </w:r>
      <w:r>
        <w:rPr>
          <w:rFonts w:ascii="Arial" w:hAnsi="Arial" w:cs="Arial"/>
          <w:color w:val="#C7254E"/>
          <w:sz w:val="20"/>
          <w:shd w:fill="#F9F2F4"/>
        </w:rPr>
        <w:t xml:space="preserve">inline code</w:t>
      </w:r>
      <w:r>
        <w:rPr>
          <w:rFonts w:ascii="Arial" w:hAnsi="Arial" w:cs="Arial"/>
          <w:color w:val="#000000"/>
          <w:sz w:val="20"/>
        </w:rPr>
        <w:t xml:space="preserve"> to add code into other things. </w:t>
      </w:r>
    </w:p>
    <w:p>
      <w:pPr>
        <w:pStyle w:val="Titre1"/>
      </w:pPr>
      <w:r>
        <w:t xml:space="preserve">Quote </w:t>
      </w:r>
    </w:p>
    <w:p>
      <w:pPr>
        <w:pBdr/>
        <w:shd w:fill="#EEEEEE"/>
        <w:spacing w:before="120" w:after="120"/>
        <w:ind w:left="240" w:right="240"/>
        <w:jc w:val="left"/>
      </w:pPr>
      <w:r>
        <w:rPr>
          <w:rFonts w:ascii="Arial" w:hAnsi="Arial" w:cs="Arial"/>
          <w:color w:val="#000000"/>
          <w:sz w:val="20"/>
        </w:rPr>
        <w:t xml:space="preserve">Here is a quote. Quotes are indented when used. </w:t>
      </w:r>
    </w:p>
    <w:p>
      <w:pPr>
        <w:pBdr/>
        <w:shd w:fill="#EEEEEE"/>
        <w:spacing w:before="120" w:after="120"/>
        <w:ind w:left="360" w:right="360"/>
        <w:jc w:val="left"/>
      </w:pPr>
      <w:r>
        <w:rPr>
          <w:rFonts w:ascii="Arial" w:hAnsi="Arial" w:cs="Arial"/>
          <w:color w:val="#000000"/>
          <w:sz w:val="20"/>
        </w:rPr>
        <w:t xml:space="preserve">Subquotes are also supported. </w:t>
      </w:r>
    </w:p>
    <w:p>
      <w:pPr>
        <w:pStyle w:val="Titre1"/>
      </w:pPr>
      <w:r>
        <w:t xml:space="preserve">URLs </w:t>
      </w:r>
    </w:p>
    <w:p>
      <w:pPr>
        <w:numPr>
          <w:ilvl w:val="0"/>
          <w:numId w:val="17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A named link to </w:t>
      </w:r>
      <w:hyperlink w:history="true" r:id="rId12">
        <w:r>
          <w:rPr>
            <w:rFonts w:ascii="Arial" w:hAnsi="Arial" w:cs="Arial"/>
            <w:color w:val="#428BCA"/>
            <w:sz w:val="20"/>
            <w:u w:val="single"/>
          </w:rPr>
          <w:t xml:space="preserve">DaringFireball</w:t>
        </w:r>
      </w:hyperlink>
      <w:r>
        <w:rPr>
          <w:rFonts w:ascii="Arial" w:hAnsi="Arial" w:cs="Arial"/>
          <w:color w:val="#000000"/>
          <w:sz w:val="20"/>
        </w:rPr>
        <w:t xml:space="preserve">. </w:t>
      </w:r>
    </w:p>
    <w:p>
      <w:pPr>
        <w:numPr>
          <w:ilvl w:val="0"/>
          <w:numId w:val="17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Another named link to </w:t>
      </w:r>
      <w:hyperlink w:history="true" r:id="rId13">
        <w:r>
          <w:rPr>
            <w:rFonts w:ascii="Arial" w:hAnsi="Arial" w:cs="Arial"/>
            <w:color w:val="#428BCA"/>
            <w:sz w:val="20"/>
            <w:u w:val="single"/>
          </w:rPr>
          <w:t xml:space="preserve">DaringFireball</w:t>
        </w:r>
      </w:hyperlink>
      <w:r>
        <w:rPr>
          <w:rFonts w:ascii="Arial" w:hAnsi="Arial" w:cs="Arial"/>
          <w:color w:val="#000000"/>
          <w:sz w:val="20"/>
        </w:rPr>
        <w:t xml:space="preserve"> </w:t>
      </w:r>
    </w:p>
    <w:p>
      <w:pPr>
        <w:numPr>
          <w:ilvl w:val="0"/>
          <w:numId w:val="17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Sometimes you just want a URL like </w:t>
      </w:r>
      <w:hyperlink w:history="true" r:id="rId14">
        <w:r>
          <w:rPr>
            <w:rFonts w:ascii="Arial" w:hAnsi="Arial" w:cs="Arial"/>
            <w:color w:val="#428BCA"/>
            <w:sz w:val="20"/>
            <w:u w:val="single"/>
          </w:rPr>
          <w:t xml:space="preserve">http://daringfireball.net/projects/markdown</w:t>
        </w:r>
      </w:hyperlink>
      <w:r>
        <w:rPr>
          <w:rFonts w:ascii="Arial" w:hAnsi="Arial" w:cs="Arial"/>
          <w:color w:val="#000000"/>
          <w:sz w:val="20"/>
        </w:rPr>
        <w:t xml:space="preserve">. </w:t>
      </w:r>
    </w:p>
    <w:p>
      <w:pPr>
        <w:pStyle w:val="Titre1"/>
      </w:pPr>
      <w:r>
        <w:t xml:space="preserve">Miscellaneous </w:t>
      </w:r>
    </w:p>
    <w:p>
      <w:pPr>
        <w:pStyle w:val="Titre2"/>
      </w:pPr>
      <w:r>
        <w:t xml:space="preserve">Horizontal rule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A horizontal rule is a line that goes across the middle of the page. </w:t>
      </w:r>
    </w:p>
    <w:p>
      <w:pPr>
        <w:pBdr>
          <w:bottom w:val="single" w:color="gray10" w:sz="8"/>
        </w:pBdr>
        <w:spacing w:before="20" w:after="20"/>
        <w:ind w:left="0" w:right="20"/>
        <w:jc w:val="both"/>
      </w:pPr>
      <w:r>
        <w:t xml:space="preserve"/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It's sometimes usefull for breaking things up. </w:t>
      </w:r>
    </w:p>
    <w:p>
      <w:pPr>
        <w:pStyle w:val="Titre2"/>
      </w:pPr>
      <w:r>
        <w:t xml:space="preserve">Images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This implementation does not support images yet. Use addImage or addPlot instead. 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C6002" w:rsidP="00450C03" w:rsidRDefault="00DC6002">
      <w:pPr>
        <w:spacing w:after="0" w:line="240" w:lineRule="auto"/>
      </w:pPr>
      <w:r>
        <w:separator/>
      </w:r>
    </w:p>
  </w:footnote>
  <w:footnote w:type="continuationSeparator" w:id="0">
    <w:p w:rsidR="00DC6002" w:rsidP="00450C03" w:rsidRDefault="00DC6002">
      <w:pPr>
        <w:spacing w:after="0" w:line="240" w:lineRule="auto"/>
      </w:pPr>
      <w:r>
        <w:continuationSeparator/>
      </w:r>
    </w:p>
  </w:footnote>
  <w:footnote w:id="3"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  <w:vertAlign w:val="superscript"/>
        </w:rPr>
        <w:footnoteRef/>
      </w:r>
      <w:r>
        <w:rPr>
          <w:rFonts w:ascii="Arial" w:hAnsi="Arial" w:cs="Arial"/>
          <w:color w:val="#000000"/>
          <w:sz w:val="20"/>
        </w:rPr>
        <w:t xml:space="preserve">Here's a note with multiple blocks.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This paragraph is indented and belongs to the previous footnote.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This paragraph also belongs to the previous footnote. In this way, multi-paragraph footnotes work like multi-paragraph list items.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color w:val="#000000"/>
          <w:sz w:val="20"/>
        </w:rPr>
        <w:t xml:space="preserve"/>
      </w:r>
      <w:r>
        <w:rPr>
          <w:rFonts w:ascii="Arial" w:hAnsi="Arial" w:cs="Arial"/>
          <w:color w:val="#0000FF"/>
          <w:sz w:val="20"/>
        </w:rPr>
        <w:t xml:space="preserve">ls</w:t>
      </w:r>
      <w:r>
        <w:rPr>
          <w:rFonts w:ascii="Arial" w:hAnsi="Arial" w:cs="Arial"/>
          <w:color w:val="#000000"/>
          <w:sz w:val="20"/>
        </w:rPr>
        <w:t xml:space="preserve">(</w:t>
      </w:r>
      <w:r>
        <w:rPr>
          <w:rFonts w:ascii="Arial" w:hAnsi="Arial" w:cs="Arial"/>
          <w:color w:val="#000000"/>
          <w:sz w:val="20"/>
        </w:rPr>
        <w:t xml:space="preserve">)</w:t>
      </w:r>
    </w:p>
    <w:p>
      <w:pPr>
        <w:numPr>
          <w:ilvl w:val="0"/>
          <w:numId w:val="-1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This list item belongs to the previous footnote. </w:t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 %2."/>
      <w:lvlJc w:val="left"/>
      <w:pPr>
        <w:ind w:left="1296" w:hanging="576"/>
      </w:pPr>
    </w:lvl>
    <w:lvl w:ilvl="2">
      <w:start w:val="1"/>
      <w:numFmt w:val="decimal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decimal"/>
      <w:lvlText w:val="%5."/>
      <w:lvlJc w:val="left"/>
      <w:pPr>
        <w:ind w:left="3456" w:hanging="576"/>
      </w:pPr>
    </w:lvl>
    <w:lvl w:ilvl="5">
      <w:start w:val="1"/>
      <w:numFmt w:val="decimal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decimal"/>
      <w:lvlText w:val="%8."/>
      <w:lvlJc w:val="left"/>
      <w:pPr>
        <w:ind w:left="5616" w:hanging="576"/>
      </w:pPr>
    </w:lvl>
    <w:lvl w:ilvl="8">
      <w:start w:val="1"/>
      <w:numFmt w:val="decimal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∎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● "/>
      <w:lvlJc w:val="left"/>
      <w:pPr>
        <w:ind w:left="2736" w:hanging="576"/>
      </w:pPr>
    </w:lvl>
    <w:lvl w:ilvl="4">
      <w:start w:val="1"/>
      <w:numFmt w:val="bullet"/>
      <w:lvlText w:val="∎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● "/>
      <w:lvlJc w:val="left"/>
      <w:pPr>
        <w:ind w:left="4896" w:hanging="576"/>
      </w:pPr>
    </w:lvl>
    <w:lvl w:ilvl="7">
      <w:start w:val="1"/>
      <w:numFmt w:val="bullet"/>
      <w:lvlText w:val="∎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Mode="External" Target="http://cran.r-project.org/" Type="http://schemas.openxmlformats.org/officeDocument/2006/relationships/hyperlink" Id="rId10"/><Relationship TargetMode="External" Target="http://daringfireball.net/projects/markdown/" Type="http://schemas.openxmlformats.org/officeDocument/2006/relationships/hyperlink" Id="rId11"/><Relationship TargetMode="External" Target="http://daringfireball.net/projects/markdown/" Type="http://schemas.openxmlformats.org/officeDocument/2006/relationships/hyperlink" Id="rId12"/><Relationship TargetMode="External" Target="http://daringfireball.net/projects/markdown" Type="http://schemas.openxmlformats.org/officeDocument/2006/relationships/hyperlink" Id="rId13"/><Relationship TargetMode="External" Target="http://daringfireball.net/projects/markdown" Type="http://schemas.openxmlformats.org/officeDocument/2006/relationships/hyperlink" Id="rId14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LYSIS_DAVID/dgohel on computer LYSIS_DAVID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