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Evaluation</w:t>
      </w:r>
      <w:r>
        <w:t xml:space="preserve"> </w:t>
      </w:r>
      <w:r>
        <w:t xml:space="preserve">Procedure</w:t>
      </w:r>
    </w:p>
    <w:p>
      <w:pPr>
        <w:pStyle w:val="FirstParagraph"/>
      </w:pPr>
      <w:r>
        <w:t xml:space="preserve">The peer evaluation procedure described below follows our preregistered protocol. All minor deviations are listed in the Deviations from Preregistration document in the Supplementary materials.</w:t>
      </w:r>
    </w:p>
    <w:p>
      <w:pPr>
        <w:pStyle w:val="BodyText"/>
      </w:pPr>
      <w:r>
        <w:t xml:space="preserve">In addition to completing a re-analyses, co-analysts who signed up to the Multi100 could opt-in to serve as a peer evaluator on the project. That is, the co-analyst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were later approached to serve as peer evaluators. The role of a peer evaluator was to check the plausibility and sensibility of an analysis based on a summary of the analysis submitted by the analyst. In order to successfully evaluate a given re-analysis, peer evaluators were provided with instructions and a summary of the co-analysts analysis (i.e., responses to their Task 1 and Task 2 post-analysis survey questions). A template of instructions is provided in the Figure below.</w:t>
      </w:r>
    </w:p>
    <w:p>
      <w:pPr>
        <w:pStyle w:val="BodyText"/>
      </w:pPr>
      <w:r>
        <w:rPr>
          <w:bCs/>
          <w:b/>
        </w:rPr>
        <w:t xml:space="preserve">Figure</w:t>
      </w:r>
    </w:p>
    <w:p>
      <w:pPr>
        <w:pStyle w:val="BodyText"/>
      </w:pPr>
      <w:r>
        <w:rPr>
          <w:iCs/>
          <w:i/>
        </w:rPr>
        <w:t xml:space="preserve">Peer evaluation task template sent out to all evaluators. Square brackets indicate variable information that is specific to the re-analysis being evaluated.</w:t>
      </w:r>
    </w:p>
    <w:p>
      <w:pPr>
        <w:pStyle w:val="BodyText"/>
      </w:pPr>
      <w:r>
        <w:t xml:space="preserve">[INSERT FIGURE HERE]</w:t>
      </w:r>
    </w:p>
    <w:bookmarkStart w:id="20"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to be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categorization of the task 1 result is adequate. For example, regarding an analyst who has claimed that the results of their analysis show evidence in favor of the original effect/relationship, the evaluator considered whether this judgment is adequate. Each categorization was rated as either (1) Adequate, or (2) Inadequate. Given that the analyst’s categorization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to be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while the task 2 analysis pipeline was judged as</w:t>
      </w:r>
      <w:r>
        <w:t xml:space="preserve"> </w:t>
      </w:r>
      <w:r>
        <w:t xml:space="preserve">‘</w:t>
      </w:r>
      <w:r>
        <w:t xml:space="preserve">incomplete or missing</w:t>
      </w:r>
      <w:r>
        <w:t xml:space="preserve">’</w:t>
      </w:r>
      <w:r>
        <w:t xml:space="preserve"> </w:t>
      </w:r>
      <w:r>
        <w:t xml:space="preserve">in 21 cases, while the code reproducibility checks revealed 19 mismatches.</w:t>
      </w:r>
    </w:p>
    <w:bookmarkEnd w:id="20"/>
    <w:bookmarkStart w:id="21"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co-analyst. For each issue, the panel member reviewed the evaluators’ initial categorization and their reasoning. Note, that our aim in the project was to explore the sensitivity of analytical results to the analytical choices of the co-analysts. So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categorized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where it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categorization of results to be inadequate when they also judged that the conclusion does not follow from the results. It was often the case then, that verifying the legitimacy of the task 1 conclusion also verified the legitimacy of the task 1 categorization. The reasoning of the expert panel on a case-by-case basis can be found in the review supplement.</w:t>
      </w:r>
    </w:p>
    <w:p>
      <w:pPr>
        <w:pStyle w:val="BodyText"/>
      </w:pPr>
      <w:r>
        <w:t xml:space="preserve">Following the task 2 analysis pipeline review,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All initial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there were no changes made to initial ratings following the code mismatches review.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categorization, or effect size.</w:t>
      </w:r>
    </w:p>
    <w:p>
      <w:pPr>
        <w:pStyle w:val="BodyText"/>
      </w:pPr>
      <w:r>
        <w:t xml:space="preserve">The issues raised by the peer evaluators and the decisions of the expert panel are documented in full on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End w:id="21"/>
    <w:bookmarkStart w:id="22" w:name="peer-evaluation-results"/>
    <w:p>
      <w:pPr>
        <w:pStyle w:val="Heading2"/>
      </w:pPr>
      <w:r>
        <w:t xml:space="preserve">Peer Evaluation Results</w:t>
      </w:r>
    </w:p>
    <w:p>
      <w:pPr>
        <w:pStyle w:val="FirstParagraph"/>
      </w:pPr>
      <w:r>
        <w:t xml:space="preserve">See Supplement 2 - Results document.</w:t>
      </w:r>
    </w:p>
    <w:bookmarkEnd w:id="22"/>
    <w:bookmarkStart w:id="23" w:name="resulting-actions"/>
    <w:p>
      <w:pPr>
        <w:pStyle w:val="Heading2"/>
      </w:pPr>
      <w:r>
        <w:t xml:space="preserve">Resulting actions</w:t>
      </w:r>
    </w:p>
    <w:p>
      <w:pPr>
        <w:pStyle w:val="FirstParagraph"/>
      </w:pPr>
      <w:r>
        <w:t xml:space="preserve">Re-analyses: Rejected re-analyses were excluded from overall data analyses. Those co-analysts with no accepted analyses were not co-authors on the resulting publication unless they earned it by completing peer evaluations.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Procedure</dc:title>
  <dc:creator/>
  <cp:keywords/>
  <dcterms:created xsi:type="dcterms:W3CDTF">2024-03-12T16:23:56Z</dcterms:created>
  <dcterms:modified xsi:type="dcterms:W3CDTF">2024-03-12T16:23:56Z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